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B19167" w14:textId="77777777" w:rsidR="00BB48BF" w:rsidRPr="00A8623D" w:rsidRDefault="00BB48BF" w:rsidP="00AC1D83">
      <w:pPr>
        <w:spacing w:line="360" w:lineRule="auto"/>
        <w:jc w:val="center"/>
        <w:rPr>
          <w:rFonts w:ascii="Times New Roman" w:hAnsi="Times New Roman" w:cs="Times New Roman"/>
          <w:b/>
          <w:sz w:val="28"/>
        </w:rPr>
      </w:pPr>
      <w:r>
        <w:rPr>
          <w:rFonts w:ascii="Times New Roman" w:hAnsi="Times New Roman" w:cs="Times New Roman"/>
          <w:b/>
          <w:sz w:val="28"/>
        </w:rPr>
        <w:t>EMPRÉSTIMO CONSIGNADO NÃO AUTORIZADO POR CONSUMIDORES HIPERVULNERÁVEIS</w:t>
      </w:r>
    </w:p>
    <w:p w14:paraId="252401A6" w14:textId="77777777" w:rsidR="00BB48BF" w:rsidRPr="00A8623D" w:rsidRDefault="00BB48BF" w:rsidP="00BB48BF">
      <w:pPr>
        <w:jc w:val="center"/>
        <w:rPr>
          <w:rFonts w:ascii="Times New Roman" w:hAnsi="Times New Roman" w:cs="Times New Roman"/>
          <w:b/>
          <w:sz w:val="28"/>
        </w:rPr>
      </w:pPr>
    </w:p>
    <w:p w14:paraId="715FFFFD" w14:textId="77777777" w:rsidR="00BB48BF" w:rsidRPr="00AC1D83" w:rsidRDefault="00AC1D83" w:rsidP="00AC1D83">
      <w:pPr>
        <w:jc w:val="right"/>
        <w:rPr>
          <w:rFonts w:ascii="Times New Roman" w:hAnsi="Times New Roman" w:cs="Times New Roman"/>
          <w:bCs/>
          <w:sz w:val="22"/>
        </w:rPr>
      </w:pPr>
      <w:r w:rsidRPr="00AC1D83">
        <w:rPr>
          <w:rFonts w:ascii="Times New Roman" w:hAnsi="Times New Roman" w:cs="Times New Roman"/>
          <w:bCs/>
          <w:sz w:val="22"/>
        </w:rPr>
        <w:t>Gabriella Sucupira Borges</w:t>
      </w:r>
      <w:r>
        <w:rPr>
          <w:rStyle w:val="Refdenotaderodap"/>
          <w:rFonts w:ascii="Times New Roman" w:hAnsi="Times New Roman" w:cs="Times New Roman"/>
          <w:bCs/>
          <w:sz w:val="22"/>
        </w:rPr>
        <w:footnoteReference w:id="1"/>
      </w:r>
    </w:p>
    <w:p w14:paraId="0AEC8014" w14:textId="77777777" w:rsidR="00AC1D83" w:rsidRPr="00AC1D83" w:rsidRDefault="00AC1D83" w:rsidP="00AC1D83">
      <w:pPr>
        <w:jc w:val="right"/>
        <w:rPr>
          <w:rFonts w:ascii="Times New Roman" w:hAnsi="Times New Roman" w:cs="Times New Roman"/>
          <w:bCs/>
          <w:sz w:val="22"/>
        </w:rPr>
      </w:pPr>
      <w:r w:rsidRPr="00AC1D83">
        <w:rPr>
          <w:rFonts w:ascii="Times New Roman" w:hAnsi="Times New Roman" w:cs="Times New Roman"/>
          <w:bCs/>
          <w:sz w:val="22"/>
        </w:rPr>
        <w:t>Andréa Queiroz Fabri</w:t>
      </w:r>
      <w:r>
        <w:rPr>
          <w:rStyle w:val="Refdenotaderodap"/>
          <w:rFonts w:ascii="Times New Roman" w:hAnsi="Times New Roman" w:cs="Times New Roman"/>
          <w:bCs/>
          <w:sz w:val="22"/>
        </w:rPr>
        <w:footnoteReference w:id="2"/>
      </w:r>
    </w:p>
    <w:p w14:paraId="2DFA39C9" w14:textId="77777777" w:rsidR="00BB48BF" w:rsidRPr="00AC1D83" w:rsidRDefault="00BB48BF" w:rsidP="00AC1D83">
      <w:pPr>
        <w:jc w:val="right"/>
        <w:rPr>
          <w:rFonts w:ascii="Times New Roman" w:hAnsi="Times New Roman" w:cs="Times New Roman"/>
          <w:bCs/>
          <w:sz w:val="22"/>
        </w:rPr>
      </w:pPr>
    </w:p>
    <w:p w14:paraId="03A0ED3C" w14:textId="77777777" w:rsidR="0024374F" w:rsidRDefault="0024374F">
      <w:pPr>
        <w:jc w:val="both"/>
        <w:rPr>
          <w:rFonts w:ascii="Times New Roman" w:hAnsi="Times New Roman" w:cs="Times New Roman"/>
        </w:rPr>
      </w:pPr>
    </w:p>
    <w:p w14:paraId="4FB9B644" w14:textId="77777777" w:rsidR="0024374F" w:rsidRDefault="0024374F">
      <w:pPr>
        <w:jc w:val="both"/>
        <w:rPr>
          <w:rFonts w:ascii="Times New Roman" w:hAnsi="Times New Roman" w:cs="Times New Roman"/>
        </w:rPr>
      </w:pPr>
    </w:p>
    <w:p w14:paraId="229233A2" w14:textId="77777777" w:rsidR="0024374F" w:rsidRPr="00E35758" w:rsidRDefault="00E35758" w:rsidP="00F068F3">
      <w:pPr>
        <w:spacing w:line="360" w:lineRule="auto"/>
        <w:ind w:firstLine="709"/>
        <w:jc w:val="both"/>
        <w:rPr>
          <w:rFonts w:ascii="Times New Roman" w:hAnsi="Times New Roman" w:cs="Times New Roman"/>
          <w:b/>
          <w:szCs w:val="24"/>
        </w:rPr>
      </w:pPr>
      <w:r w:rsidRPr="00E35758">
        <w:rPr>
          <w:rFonts w:ascii="Times New Roman" w:hAnsi="Times New Roman" w:cs="Times New Roman"/>
          <w:b/>
        </w:rPr>
        <w:t xml:space="preserve">1. </w:t>
      </w:r>
      <w:r w:rsidR="0024374F" w:rsidRPr="00E35758">
        <w:rPr>
          <w:rFonts w:ascii="Times New Roman" w:hAnsi="Times New Roman" w:cs="Times New Roman"/>
          <w:b/>
          <w:szCs w:val="24"/>
        </w:rPr>
        <w:t>Introdução</w:t>
      </w:r>
    </w:p>
    <w:p w14:paraId="5DD39B07" w14:textId="77777777" w:rsidR="00C33071" w:rsidRPr="00717557" w:rsidRDefault="00C33071" w:rsidP="009A2FBD">
      <w:pPr>
        <w:spacing w:line="360" w:lineRule="auto"/>
        <w:ind w:firstLine="709"/>
        <w:jc w:val="both"/>
        <w:rPr>
          <w:rFonts w:ascii="Times New Roman" w:eastAsia="Times New Roman" w:hAnsi="Times New Roman" w:cs="Times New Roman"/>
          <w:szCs w:val="24"/>
          <w:shd w:val="clear" w:color="auto" w:fill="FFFFFF"/>
          <w:lang w:eastAsia="pt-BR"/>
        </w:rPr>
      </w:pPr>
      <w:r w:rsidRPr="00717557">
        <w:rPr>
          <w:rFonts w:ascii="Times New Roman" w:hAnsi="Times New Roman" w:cs="Times New Roman"/>
          <w:szCs w:val="24"/>
        </w:rPr>
        <w:t xml:space="preserve">O consumidor por si só já é considerado vulnerável no mercado consumerista, uma vez que </w:t>
      </w:r>
      <w:r w:rsidR="008337E8" w:rsidRPr="00717557">
        <w:rPr>
          <w:rFonts w:ascii="Times New Roman" w:hAnsi="Times New Roman" w:cs="Times New Roman"/>
          <w:szCs w:val="24"/>
        </w:rPr>
        <w:t>o</w:t>
      </w:r>
      <w:r w:rsidRPr="00717557">
        <w:rPr>
          <w:rFonts w:ascii="Times New Roman" w:hAnsi="Times New Roman" w:cs="Times New Roman"/>
          <w:szCs w:val="24"/>
        </w:rPr>
        <w:t xml:space="preserve"> </w:t>
      </w:r>
      <w:r w:rsidR="0007682B" w:rsidRPr="00717557">
        <w:rPr>
          <w:rFonts w:ascii="Times New Roman" w:eastAsia="Times New Roman" w:hAnsi="Times New Roman" w:cs="Times New Roman"/>
          <w:szCs w:val="24"/>
          <w:lang w:eastAsia="pt-BR"/>
        </w:rPr>
        <w:t>princípio da vulnera</w:t>
      </w:r>
      <w:r w:rsidR="008337E8" w:rsidRPr="00717557">
        <w:rPr>
          <w:rFonts w:ascii="Times New Roman" w:eastAsia="Times New Roman" w:hAnsi="Times New Roman" w:cs="Times New Roman"/>
          <w:szCs w:val="24"/>
          <w:lang w:eastAsia="pt-BR"/>
        </w:rPr>
        <w:t xml:space="preserve">bilidade (art. 4º, I do CDC), </w:t>
      </w:r>
      <w:r w:rsidR="0007682B" w:rsidRPr="00717557">
        <w:rPr>
          <w:rFonts w:ascii="Times New Roman" w:eastAsia="Times New Roman" w:hAnsi="Times New Roman" w:cs="Times New Roman"/>
          <w:szCs w:val="24"/>
          <w:lang w:eastAsia="pt-BR"/>
        </w:rPr>
        <w:t xml:space="preserve">conta com a presunção absoluta de aplicabilidade/veracidade, </w:t>
      </w:r>
      <w:r w:rsidR="008337E8" w:rsidRPr="00717557">
        <w:rPr>
          <w:rFonts w:ascii="Times New Roman" w:eastAsia="Times New Roman" w:hAnsi="Times New Roman" w:cs="Times New Roman"/>
          <w:szCs w:val="24"/>
          <w:lang w:eastAsia="pt-BR"/>
        </w:rPr>
        <w:t>devendo</w:t>
      </w:r>
      <w:r w:rsidR="0007682B" w:rsidRPr="00717557">
        <w:rPr>
          <w:rFonts w:ascii="Times New Roman" w:eastAsia="Times New Roman" w:hAnsi="Times New Roman" w:cs="Times New Roman"/>
          <w:szCs w:val="24"/>
          <w:lang w:eastAsia="pt-BR"/>
        </w:rPr>
        <w:t xml:space="preserve"> ser reconhecido perante </w:t>
      </w:r>
      <w:r w:rsidR="0007682B" w:rsidRPr="00717557">
        <w:rPr>
          <w:rFonts w:ascii="Times New Roman" w:eastAsia="Times New Roman" w:hAnsi="Times New Roman" w:cs="Times New Roman"/>
          <w:szCs w:val="24"/>
          <w:shd w:val="clear" w:color="auto" w:fill="FFFFFF"/>
          <w:lang w:eastAsia="pt-BR"/>
        </w:rPr>
        <w:t>três âmbitos distintos, quais sejam, econômico, técnico e jurídico, pois, notadamente, o fornecedor é quem detém com superioridade todos esses poderes e conhecimentos, se comparado ao consumidor.</w:t>
      </w:r>
    </w:p>
    <w:p w14:paraId="19EF38D5" w14:textId="77777777" w:rsidR="008337E8" w:rsidRPr="00717557" w:rsidRDefault="008337E8" w:rsidP="009A2FBD">
      <w:pPr>
        <w:spacing w:line="360" w:lineRule="auto"/>
        <w:ind w:firstLine="709"/>
        <w:jc w:val="both"/>
        <w:rPr>
          <w:rFonts w:ascii="Times New Roman" w:eastAsia="Times New Roman" w:hAnsi="Times New Roman" w:cs="Times New Roman"/>
          <w:szCs w:val="24"/>
          <w:shd w:val="clear" w:color="auto" w:fill="FFFFFF"/>
          <w:lang w:eastAsia="pt-BR"/>
        </w:rPr>
      </w:pPr>
      <w:r w:rsidRPr="00717557">
        <w:rPr>
          <w:rFonts w:ascii="Times New Roman" w:eastAsia="Times New Roman" w:hAnsi="Times New Roman" w:cs="Times New Roman"/>
          <w:szCs w:val="24"/>
          <w:shd w:val="clear" w:color="auto" w:fill="FFFFFF"/>
          <w:lang w:eastAsia="pt-BR"/>
        </w:rPr>
        <w:t>Quando analisamos um consumidor idoso, podemos identificar de prontidão várias desigualdades</w:t>
      </w:r>
      <w:r w:rsidR="004E6818" w:rsidRPr="00717557">
        <w:rPr>
          <w:rFonts w:ascii="Times New Roman" w:eastAsia="Times New Roman" w:hAnsi="Times New Roman" w:cs="Times New Roman"/>
          <w:szCs w:val="24"/>
          <w:shd w:val="clear" w:color="auto" w:fill="FFFFFF"/>
          <w:lang w:eastAsia="pt-BR"/>
        </w:rPr>
        <w:t>,</w:t>
      </w:r>
      <w:r w:rsidR="004E6818" w:rsidRPr="00717557">
        <w:rPr>
          <w:rFonts w:ascii="Times New Roman" w:hAnsi="Times New Roman" w:cs="Times New Roman"/>
          <w:szCs w:val="24"/>
        </w:rPr>
        <w:t xml:space="preserve"> primeiro por ser considerado um consumidor vulnerável conforme o Código de Defesa do Consumidor, e segundo por sua condição biológica mais frágil, reiterada no Estatuto do Idoso</w:t>
      </w:r>
      <w:r w:rsidR="004E6818" w:rsidRPr="00717557">
        <w:rPr>
          <w:rFonts w:ascii="Times New Roman" w:eastAsia="Times New Roman" w:hAnsi="Times New Roman" w:cs="Times New Roman"/>
          <w:szCs w:val="24"/>
          <w:shd w:val="clear" w:color="auto" w:fill="FFFFFF"/>
          <w:lang w:eastAsia="pt-BR"/>
        </w:rPr>
        <w:t>. E</w:t>
      </w:r>
      <w:r w:rsidRPr="00717557">
        <w:rPr>
          <w:rFonts w:ascii="Times New Roman" w:eastAsia="Times New Roman" w:hAnsi="Times New Roman" w:cs="Times New Roman"/>
          <w:szCs w:val="24"/>
          <w:shd w:val="clear" w:color="auto" w:fill="FFFFFF"/>
          <w:lang w:eastAsia="pt-BR"/>
        </w:rPr>
        <w:t xml:space="preserve"> justamente sobre essa ótica</w:t>
      </w:r>
      <w:r w:rsidR="004E6818" w:rsidRPr="00717557">
        <w:rPr>
          <w:rFonts w:ascii="Times New Roman" w:eastAsia="Times New Roman" w:hAnsi="Times New Roman" w:cs="Times New Roman"/>
          <w:szCs w:val="24"/>
          <w:shd w:val="clear" w:color="auto" w:fill="FFFFFF"/>
          <w:lang w:eastAsia="pt-BR"/>
        </w:rPr>
        <w:t>,</w:t>
      </w:r>
      <w:r w:rsidRPr="00717557">
        <w:rPr>
          <w:rFonts w:ascii="Times New Roman" w:eastAsia="Times New Roman" w:hAnsi="Times New Roman" w:cs="Times New Roman"/>
          <w:szCs w:val="24"/>
          <w:shd w:val="clear" w:color="auto" w:fill="FFFFFF"/>
          <w:lang w:eastAsia="pt-BR"/>
        </w:rPr>
        <w:t xml:space="preserve"> o presente trabalho pretende analisar e discorrer sobre a hipervulnerabilidade dos consumidores idosos nas relações de consumo</w:t>
      </w:r>
      <w:r w:rsidR="00D569EC" w:rsidRPr="00717557">
        <w:rPr>
          <w:rFonts w:ascii="Times New Roman" w:eastAsia="Times New Roman" w:hAnsi="Times New Roman" w:cs="Times New Roman"/>
          <w:szCs w:val="24"/>
          <w:shd w:val="clear" w:color="auto" w:fill="FFFFFF"/>
          <w:lang w:eastAsia="pt-BR"/>
        </w:rPr>
        <w:t>, bem como a forma que eles são afetados por práticas abusivas mais frequentemente que um consumidor mais novo.</w:t>
      </w:r>
    </w:p>
    <w:p w14:paraId="0963FC54" w14:textId="77777777" w:rsidR="00D569EC" w:rsidRPr="00717557" w:rsidRDefault="009050EA" w:rsidP="009A2FBD">
      <w:pPr>
        <w:spacing w:line="360" w:lineRule="auto"/>
        <w:ind w:firstLine="709"/>
        <w:jc w:val="both"/>
        <w:rPr>
          <w:rFonts w:ascii="Times New Roman" w:hAnsi="Times New Roman" w:cs="Times New Roman"/>
          <w:szCs w:val="24"/>
        </w:rPr>
      </w:pPr>
      <w:r>
        <w:rPr>
          <w:rFonts w:ascii="Times New Roman" w:eastAsia="Times New Roman" w:hAnsi="Times New Roman" w:cs="Times New Roman"/>
          <w:szCs w:val="24"/>
          <w:shd w:val="clear" w:color="auto" w:fill="FFFFFF"/>
          <w:lang w:eastAsia="pt-BR"/>
        </w:rPr>
        <w:t>Tendo como foco u</w:t>
      </w:r>
      <w:r w:rsidR="00D569EC" w:rsidRPr="00717557">
        <w:rPr>
          <w:rFonts w:ascii="Times New Roman" w:eastAsia="Times New Roman" w:hAnsi="Times New Roman" w:cs="Times New Roman"/>
          <w:szCs w:val="24"/>
          <w:shd w:val="clear" w:color="auto" w:fill="FFFFFF"/>
          <w:lang w:eastAsia="pt-BR"/>
        </w:rPr>
        <w:t>ma das práticas que mais ocorre atualmente</w:t>
      </w:r>
      <w:r>
        <w:rPr>
          <w:rFonts w:ascii="Times New Roman" w:eastAsia="Times New Roman" w:hAnsi="Times New Roman" w:cs="Times New Roman"/>
          <w:szCs w:val="24"/>
          <w:shd w:val="clear" w:color="auto" w:fill="FFFFFF"/>
          <w:lang w:eastAsia="pt-BR"/>
        </w:rPr>
        <w:t>,</w:t>
      </w:r>
      <w:r w:rsidR="00D569EC" w:rsidRPr="00717557">
        <w:rPr>
          <w:rFonts w:ascii="Times New Roman" w:eastAsia="Times New Roman" w:hAnsi="Times New Roman" w:cs="Times New Roman"/>
          <w:szCs w:val="24"/>
          <w:shd w:val="clear" w:color="auto" w:fill="FFFFFF"/>
          <w:lang w:eastAsia="pt-BR"/>
        </w:rPr>
        <w:t xml:space="preserve"> o empréstimo consignado não autorizado por consumidores hipervulneráveis, prática essa que </w:t>
      </w:r>
      <w:r w:rsidR="00D569EC" w:rsidRPr="00717557">
        <w:rPr>
          <w:rFonts w:ascii="Times New Roman" w:hAnsi="Times New Roman" w:cs="Times New Roman"/>
          <w:szCs w:val="24"/>
        </w:rPr>
        <w:t>cresceu de forma demasiada durante a pandemia.</w:t>
      </w:r>
    </w:p>
    <w:p w14:paraId="5BD3D7CA" w14:textId="77777777" w:rsidR="00B51A96" w:rsidRPr="00717557" w:rsidRDefault="00B97A71" w:rsidP="00921D49">
      <w:pPr>
        <w:spacing w:line="360" w:lineRule="auto"/>
        <w:ind w:firstLine="709"/>
        <w:jc w:val="both"/>
        <w:rPr>
          <w:rFonts w:ascii="Times New Roman" w:hAnsi="Times New Roman" w:cs="Times New Roman"/>
          <w:szCs w:val="24"/>
        </w:rPr>
      </w:pPr>
      <w:r w:rsidRPr="00717557">
        <w:rPr>
          <w:rFonts w:ascii="Times New Roman" w:hAnsi="Times New Roman" w:cs="Times New Roman"/>
          <w:szCs w:val="24"/>
        </w:rPr>
        <w:t>Desta forma, irei apontar qual o possível motivo que leva as instituições financeiras a realizar o empréstimo consignado sem</w:t>
      </w:r>
      <w:r w:rsidR="00921D49" w:rsidRPr="00717557">
        <w:rPr>
          <w:rFonts w:ascii="Times New Roman" w:hAnsi="Times New Roman" w:cs="Times New Roman"/>
          <w:szCs w:val="24"/>
        </w:rPr>
        <w:t xml:space="preserve"> prévia solicitação/autorização, e as atitudes que vem sendo tomadas </w:t>
      </w:r>
      <w:r w:rsidRPr="00717557">
        <w:rPr>
          <w:rFonts w:ascii="Times New Roman" w:hAnsi="Times New Roman" w:cs="Times New Roman"/>
          <w:szCs w:val="24"/>
        </w:rPr>
        <w:t xml:space="preserve">pelas autoridades para auxiliar os consumidores que já </w:t>
      </w:r>
      <w:r w:rsidR="002A3C46" w:rsidRPr="00717557">
        <w:rPr>
          <w:rFonts w:ascii="Times New Roman" w:hAnsi="Times New Roman" w:cs="Times New Roman"/>
          <w:szCs w:val="24"/>
        </w:rPr>
        <w:t>foram lesados e para inibir as instituições financeiras</w:t>
      </w:r>
      <w:r w:rsidR="00B51A96" w:rsidRPr="00717557">
        <w:rPr>
          <w:rFonts w:ascii="Times New Roman" w:hAnsi="Times New Roman" w:cs="Times New Roman"/>
          <w:szCs w:val="24"/>
        </w:rPr>
        <w:t xml:space="preserve"> de continuar com tal prática, finalizando com a importância da publicidade deste assunto. </w:t>
      </w:r>
    </w:p>
    <w:p w14:paraId="690A3FD7" w14:textId="77777777" w:rsidR="00B97A71" w:rsidRDefault="00B51A96" w:rsidP="00717557">
      <w:pPr>
        <w:spacing w:line="360" w:lineRule="auto"/>
        <w:ind w:firstLine="709"/>
        <w:jc w:val="both"/>
        <w:rPr>
          <w:rFonts w:ascii="Times New Roman" w:hAnsi="Times New Roman" w:cs="Times New Roman"/>
          <w:szCs w:val="24"/>
        </w:rPr>
      </w:pPr>
      <w:r w:rsidRPr="00717557">
        <w:rPr>
          <w:rFonts w:ascii="Times New Roman" w:hAnsi="Times New Roman" w:cs="Times New Roman"/>
          <w:szCs w:val="24"/>
        </w:rPr>
        <w:t xml:space="preserve">Com a intenção de alcançar os objetivos e enriquecer o presente artigo, a metodologia utilizada </w:t>
      </w:r>
      <w:r w:rsidR="00717557" w:rsidRPr="00717557">
        <w:rPr>
          <w:rFonts w:ascii="Times New Roman" w:hAnsi="Times New Roman" w:cs="Times New Roman"/>
          <w:szCs w:val="24"/>
        </w:rPr>
        <w:t xml:space="preserve">é bibliográfica e documental, tendo como fonte decisões em ações </w:t>
      </w:r>
      <w:r w:rsidR="00717557" w:rsidRPr="00717557">
        <w:rPr>
          <w:rFonts w:ascii="Times New Roman" w:hAnsi="Times New Roman" w:cs="Times New Roman"/>
          <w:szCs w:val="24"/>
        </w:rPr>
        <w:lastRenderedPageBreak/>
        <w:t>recentes, reportagens, matérias em jornais, sites, jurisprudências, bem como leis e normas jurídicas relevantes a respeito do tema.</w:t>
      </w:r>
      <w:r w:rsidRPr="00717557">
        <w:rPr>
          <w:rFonts w:ascii="Times New Roman" w:hAnsi="Times New Roman" w:cs="Times New Roman"/>
          <w:szCs w:val="24"/>
        </w:rPr>
        <w:t xml:space="preserve"> </w:t>
      </w:r>
    </w:p>
    <w:p w14:paraId="494004AE" w14:textId="77777777" w:rsidR="009050EA" w:rsidRPr="00717557" w:rsidRDefault="009050EA" w:rsidP="00717557">
      <w:pPr>
        <w:spacing w:line="360" w:lineRule="auto"/>
        <w:ind w:firstLine="709"/>
        <w:jc w:val="both"/>
        <w:rPr>
          <w:rFonts w:ascii="Times New Roman" w:hAnsi="Times New Roman" w:cs="Times New Roman"/>
          <w:szCs w:val="24"/>
        </w:rPr>
      </w:pPr>
    </w:p>
    <w:p w14:paraId="38005E6E" w14:textId="77777777" w:rsidR="0024374F" w:rsidRPr="00D26DF4" w:rsidRDefault="0024374F" w:rsidP="00F068F3">
      <w:pPr>
        <w:spacing w:line="360" w:lineRule="auto"/>
        <w:ind w:firstLine="709"/>
        <w:jc w:val="both"/>
        <w:rPr>
          <w:rFonts w:ascii="Times New Roman" w:hAnsi="Times New Roman" w:cs="Times New Roman"/>
          <w:b/>
          <w:szCs w:val="24"/>
        </w:rPr>
      </w:pPr>
      <w:r w:rsidRPr="00D26DF4">
        <w:rPr>
          <w:rFonts w:ascii="Times New Roman" w:hAnsi="Times New Roman" w:cs="Times New Roman"/>
          <w:b/>
          <w:szCs w:val="24"/>
        </w:rPr>
        <w:t>2. Princípio da vulnerabilidade do consumidor – artigo 4º do CDC</w:t>
      </w:r>
    </w:p>
    <w:p w14:paraId="013365ED" w14:textId="77777777" w:rsidR="0024374F" w:rsidRPr="0024374F" w:rsidRDefault="0024374F" w:rsidP="00F068F3">
      <w:pPr>
        <w:spacing w:line="360" w:lineRule="auto"/>
        <w:ind w:firstLine="709"/>
        <w:jc w:val="both"/>
        <w:rPr>
          <w:rFonts w:ascii="Times New Roman" w:hAnsi="Times New Roman" w:cs="Times New Roman"/>
        </w:rPr>
      </w:pPr>
      <w:r w:rsidRPr="0024374F">
        <w:rPr>
          <w:rFonts w:ascii="Times New Roman" w:hAnsi="Times New Roman" w:cs="Times New Roman"/>
        </w:rPr>
        <w:t>O capítulo II</w:t>
      </w:r>
      <w:r>
        <w:rPr>
          <w:rFonts w:ascii="Times New Roman" w:hAnsi="Times New Roman" w:cs="Times New Roman"/>
        </w:rPr>
        <w:t xml:space="preserve"> da Lei 8.078/70 trata da </w:t>
      </w:r>
      <w:r w:rsidR="00155E99">
        <w:rPr>
          <w:rFonts w:ascii="Times New Roman" w:hAnsi="Times New Roman" w:cs="Times New Roman"/>
        </w:rPr>
        <w:t>P</w:t>
      </w:r>
      <w:r>
        <w:rPr>
          <w:rFonts w:ascii="Times New Roman" w:hAnsi="Times New Roman" w:cs="Times New Roman"/>
        </w:rPr>
        <w:t xml:space="preserve">olítica Nacional de Relações de Consumo, que tem como objetivo o atendimento das necessidades dos consumidores, o respeito à sua dignidade, saúde e segurança, a proteção de seus interesses econômicos, a melhoria </w:t>
      </w:r>
      <w:r w:rsidRPr="0024374F">
        <w:rPr>
          <w:rFonts w:ascii="Times New Roman" w:hAnsi="Times New Roman" w:cs="Times New Roman"/>
        </w:rPr>
        <w:t>da sua qualidade de vida, bem como a transparência e harmonia das relações de consumo.</w:t>
      </w:r>
    </w:p>
    <w:p w14:paraId="2BD9DEE9" w14:textId="77777777" w:rsidR="0024374F" w:rsidRDefault="0024374F" w:rsidP="00F068F3">
      <w:pPr>
        <w:spacing w:line="360" w:lineRule="auto"/>
        <w:ind w:firstLine="709"/>
        <w:jc w:val="both"/>
        <w:rPr>
          <w:rFonts w:ascii="Times New Roman" w:hAnsi="Times New Roman" w:cs="Times New Roman"/>
        </w:rPr>
      </w:pPr>
      <w:r w:rsidRPr="0024374F">
        <w:rPr>
          <w:rFonts w:ascii="Times New Roman" w:hAnsi="Times New Roman" w:cs="Times New Roman"/>
        </w:rPr>
        <w:t>O inciso I do artigo 4º</w:t>
      </w:r>
      <w:r w:rsidR="008C1585">
        <w:rPr>
          <w:rFonts w:ascii="Times New Roman" w:hAnsi="Times New Roman" w:cs="Times New Roman"/>
        </w:rPr>
        <w:t xml:space="preserve"> dispõe sobre </w:t>
      </w:r>
      <w:r>
        <w:rPr>
          <w:rFonts w:ascii="Times New Roman" w:hAnsi="Times New Roman" w:cs="Times New Roman"/>
        </w:rPr>
        <w:t>o princípio da</w:t>
      </w:r>
      <w:r w:rsidR="008C1585">
        <w:rPr>
          <w:rFonts w:ascii="Times New Roman" w:hAnsi="Times New Roman" w:cs="Times New Roman"/>
        </w:rPr>
        <w:t xml:space="preserve"> vulnerabilidade do consumidor, que fundamenta todo o sistema consumerista, buscando proteger a parte mais frágil da relação de consumo, promovendo o equilíbrio contratual.</w:t>
      </w:r>
    </w:p>
    <w:p w14:paraId="604951C2" w14:textId="77777777" w:rsidR="00462924" w:rsidRDefault="001E2980" w:rsidP="00F068F3">
      <w:pPr>
        <w:spacing w:line="360" w:lineRule="auto"/>
        <w:ind w:firstLine="709"/>
        <w:jc w:val="both"/>
        <w:rPr>
          <w:rFonts w:ascii="Times New Roman" w:hAnsi="Times New Roman" w:cs="Times New Roman"/>
        </w:rPr>
      </w:pPr>
      <w:r>
        <w:rPr>
          <w:rFonts w:ascii="Times New Roman" w:hAnsi="Times New Roman" w:cs="Times New Roman"/>
        </w:rPr>
        <w:t xml:space="preserve">João Batista </w:t>
      </w:r>
      <w:r w:rsidR="00462924" w:rsidRPr="00462924">
        <w:rPr>
          <w:rFonts w:ascii="Times New Roman" w:hAnsi="Times New Roman" w:cs="Times New Roman"/>
        </w:rPr>
        <w:t>Almeida</w:t>
      </w:r>
      <w:r>
        <w:rPr>
          <w:rFonts w:ascii="Times New Roman" w:hAnsi="Times New Roman" w:cs="Times New Roman"/>
        </w:rPr>
        <w:t xml:space="preserve"> aponta o</w:t>
      </w:r>
      <w:r w:rsidR="00462924" w:rsidRPr="00462924">
        <w:rPr>
          <w:rFonts w:ascii="Times New Roman" w:hAnsi="Times New Roman" w:cs="Times New Roman"/>
        </w:rPr>
        <w:t xml:space="preserve"> princípio da vulnerabilidade com a seguinte afirmação: </w:t>
      </w:r>
    </w:p>
    <w:p w14:paraId="77D25EE5" w14:textId="77777777" w:rsidR="00462924" w:rsidRPr="00BA54A3" w:rsidRDefault="00462924" w:rsidP="00462924">
      <w:pPr>
        <w:ind w:left="2268"/>
        <w:jc w:val="both"/>
        <w:rPr>
          <w:rFonts w:ascii="Times New Roman" w:hAnsi="Times New Roman" w:cs="Times New Roman"/>
          <w:sz w:val="22"/>
        </w:rPr>
      </w:pPr>
      <w:r w:rsidRPr="00BA54A3">
        <w:rPr>
          <w:rFonts w:ascii="Times New Roman" w:hAnsi="Times New Roman" w:cs="Times New Roman"/>
          <w:sz w:val="22"/>
        </w:rPr>
        <w:t>Os que não dispõem de controle sobre bens de produção e, por conseguinte, devem se submeter ao poder dos titulares destes. Isto quer dizer, que a definição de consumidor já descreve essa vulnerabilidade, essa relação de hipossuficiência que pode ocorrer por desinformação, por fraude ou quando o produtor não dê ou não honre a garantia ao bem produzido.</w:t>
      </w:r>
      <w:r w:rsidR="00742D3C">
        <w:rPr>
          <w:rFonts w:ascii="Times New Roman" w:hAnsi="Times New Roman" w:cs="Times New Roman"/>
          <w:sz w:val="22"/>
        </w:rPr>
        <w:t xml:space="preserve"> (1993, p. 15)</w:t>
      </w:r>
    </w:p>
    <w:p w14:paraId="5C8F706D" w14:textId="77777777" w:rsidR="00462924" w:rsidRDefault="00462924" w:rsidP="00462924">
      <w:pPr>
        <w:ind w:left="2268"/>
        <w:jc w:val="both"/>
        <w:rPr>
          <w:rFonts w:ascii="Times New Roman" w:hAnsi="Times New Roman" w:cs="Times New Roman"/>
        </w:rPr>
      </w:pPr>
      <w:r w:rsidRPr="00462924">
        <w:rPr>
          <w:rFonts w:ascii="Times New Roman" w:hAnsi="Times New Roman" w:cs="Times New Roman"/>
        </w:rPr>
        <w:t xml:space="preserve"> </w:t>
      </w:r>
    </w:p>
    <w:p w14:paraId="05D8DB8B" w14:textId="77777777" w:rsidR="00E065B1" w:rsidRDefault="00462924" w:rsidP="00F068F3">
      <w:pPr>
        <w:spacing w:line="360" w:lineRule="auto"/>
        <w:ind w:firstLine="709"/>
        <w:jc w:val="both"/>
        <w:rPr>
          <w:rFonts w:ascii="Times New Roman" w:hAnsi="Times New Roman" w:cs="Times New Roman"/>
        </w:rPr>
      </w:pPr>
      <w:r w:rsidRPr="00462924">
        <w:rPr>
          <w:rFonts w:ascii="Times New Roman" w:hAnsi="Times New Roman" w:cs="Times New Roman"/>
        </w:rPr>
        <w:t xml:space="preserve">Segundo Moraes: </w:t>
      </w:r>
    </w:p>
    <w:p w14:paraId="6B6B2415" w14:textId="77777777" w:rsidR="00E065B1" w:rsidRPr="00BA54A3" w:rsidRDefault="00462924" w:rsidP="001E2980">
      <w:pPr>
        <w:ind w:left="2268"/>
        <w:jc w:val="both"/>
        <w:rPr>
          <w:rFonts w:ascii="Times New Roman" w:hAnsi="Times New Roman" w:cs="Times New Roman"/>
          <w:sz w:val="22"/>
        </w:rPr>
      </w:pPr>
      <w:r w:rsidRPr="00BA54A3">
        <w:rPr>
          <w:rFonts w:ascii="Times New Roman" w:hAnsi="Times New Roman" w:cs="Times New Roman"/>
          <w:sz w:val="22"/>
        </w:rPr>
        <w:t>Vulnerabilidade, sob o enfoque jurídico, é, então, o princípio pelo qual o sistema jurídico positivado brasileiro reconhece a qualidade ou condição daqueles sujeitos mais fracos na relação de consumo, tendo em vista a possibilidade de que venham a ser ofendidos ou feridos na sua incolumidade física ou psíquica, bem como no âmbito econômico, por parte dos sujeitos mais potentes da mesma relação.</w:t>
      </w:r>
      <w:r w:rsidR="00742D3C">
        <w:rPr>
          <w:rFonts w:ascii="Times New Roman" w:hAnsi="Times New Roman" w:cs="Times New Roman"/>
          <w:sz w:val="22"/>
        </w:rPr>
        <w:t xml:space="preserve"> (2009, p. 125)</w:t>
      </w:r>
    </w:p>
    <w:p w14:paraId="08542980" w14:textId="77777777" w:rsidR="001E2980" w:rsidRDefault="001E2980" w:rsidP="00F068F3">
      <w:pPr>
        <w:spacing w:line="360" w:lineRule="auto"/>
        <w:ind w:firstLine="709"/>
        <w:jc w:val="both"/>
        <w:rPr>
          <w:rFonts w:ascii="Times New Roman" w:hAnsi="Times New Roman" w:cs="Times New Roman"/>
        </w:rPr>
      </w:pPr>
    </w:p>
    <w:p w14:paraId="1FC8CE52" w14:textId="77777777" w:rsidR="009321CB" w:rsidRDefault="00462924" w:rsidP="00F068F3">
      <w:pPr>
        <w:spacing w:line="360" w:lineRule="auto"/>
        <w:ind w:firstLine="709"/>
        <w:jc w:val="both"/>
        <w:rPr>
          <w:rFonts w:ascii="Times New Roman" w:hAnsi="Times New Roman" w:cs="Times New Roman"/>
        </w:rPr>
      </w:pPr>
      <w:r w:rsidRPr="00462924">
        <w:rPr>
          <w:rFonts w:ascii="Times New Roman" w:hAnsi="Times New Roman" w:cs="Times New Roman"/>
        </w:rPr>
        <w:t xml:space="preserve">Já </w:t>
      </w:r>
      <w:proofErr w:type="spellStart"/>
      <w:r w:rsidRPr="00462924">
        <w:rPr>
          <w:rFonts w:ascii="Times New Roman" w:hAnsi="Times New Roman" w:cs="Times New Roman"/>
        </w:rPr>
        <w:t>Ragazzi</w:t>
      </w:r>
      <w:proofErr w:type="spellEnd"/>
      <w:r w:rsidRPr="00462924">
        <w:rPr>
          <w:rFonts w:ascii="Times New Roman" w:hAnsi="Times New Roman" w:cs="Times New Roman"/>
        </w:rPr>
        <w:t>, entende que “o princípio da vulnerabilidade do consumidor é o grande alicerce do microssistema, pois suas regras foram construídas com a finalidade de harmonizar as relações de consumo entre fornecedores e consumidores”. Assim, observa-se que “o consumidor é o elo mais fraco da economia; e nenhuma corrente pode ser mais forte do que seu elo mais fraco”</w:t>
      </w:r>
      <w:r w:rsidR="009321CB">
        <w:rPr>
          <w:rFonts w:ascii="Times New Roman" w:hAnsi="Times New Roman" w:cs="Times New Roman"/>
        </w:rPr>
        <w:t>.</w:t>
      </w:r>
      <w:r w:rsidR="00742D3C">
        <w:rPr>
          <w:rFonts w:ascii="Times New Roman" w:hAnsi="Times New Roman" w:cs="Times New Roman"/>
        </w:rPr>
        <w:t xml:space="preserve"> (2010, p. 151)</w:t>
      </w:r>
      <w:r w:rsidR="009321CB">
        <w:rPr>
          <w:rFonts w:ascii="Times New Roman" w:hAnsi="Times New Roman" w:cs="Times New Roman"/>
        </w:rPr>
        <w:t>.</w:t>
      </w:r>
    </w:p>
    <w:p w14:paraId="759FE9D1" w14:textId="77777777" w:rsidR="00155E99" w:rsidRDefault="00462924" w:rsidP="00F068F3">
      <w:pPr>
        <w:spacing w:line="360" w:lineRule="auto"/>
        <w:ind w:firstLine="709"/>
        <w:jc w:val="both"/>
        <w:rPr>
          <w:rFonts w:ascii="Times New Roman" w:hAnsi="Times New Roman" w:cs="Times New Roman"/>
        </w:rPr>
      </w:pPr>
      <w:r w:rsidRPr="00462924">
        <w:rPr>
          <w:rFonts w:ascii="Times New Roman" w:hAnsi="Times New Roman" w:cs="Times New Roman"/>
        </w:rPr>
        <w:t xml:space="preserve"> </w:t>
      </w:r>
      <w:r w:rsidR="00155E99" w:rsidRPr="00E934C4">
        <w:rPr>
          <w:rFonts w:ascii="Times New Roman" w:hAnsi="Times New Roman" w:cs="Times New Roman"/>
        </w:rPr>
        <w:t>Essa tutela ocorre em razão de o consumidor ser considerado o último elo da cadeia produtiva, pois depende dos produtos e serviços ofertados pelo mercado, consoante regras que acredita serem seguidas por todos nos quesitos saúde, vida e segurança, além de ficar a cargo do fornecedor o estabelecimento da informação e do contrato.</w:t>
      </w:r>
    </w:p>
    <w:p w14:paraId="12D9E273" w14:textId="77777777" w:rsidR="0024374F" w:rsidRPr="0024374F" w:rsidRDefault="0024374F" w:rsidP="00F068F3">
      <w:pPr>
        <w:spacing w:line="360" w:lineRule="auto"/>
        <w:ind w:firstLine="709"/>
        <w:rPr>
          <w:sz w:val="26"/>
        </w:rPr>
      </w:pPr>
    </w:p>
    <w:p w14:paraId="4BD1226E" w14:textId="77777777" w:rsidR="0024374F" w:rsidRPr="00D26DF4" w:rsidRDefault="0024374F" w:rsidP="00F068F3">
      <w:pPr>
        <w:spacing w:line="360" w:lineRule="auto"/>
        <w:ind w:firstLine="709"/>
        <w:jc w:val="both"/>
        <w:rPr>
          <w:rFonts w:ascii="Times New Roman" w:hAnsi="Times New Roman" w:cs="Times New Roman"/>
          <w:b/>
        </w:rPr>
      </w:pPr>
      <w:r w:rsidRPr="00D26DF4">
        <w:rPr>
          <w:rFonts w:ascii="Times New Roman" w:hAnsi="Times New Roman" w:cs="Times New Roman"/>
          <w:b/>
          <w:sz w:val="26"/>
        </w:rPr>
        <w:t xml:space="preserve">2.2. </w:t>
      </w:r>
      <w:r w:rsidRPr="00D26DF4">
        <w:rPr>
          <w:rFonts w:ascii="Times New Roman" w:hAnsi="Times New Roman" w:cs="Times New Roman"/>
          <w:b/>
        </w:rPr>
        <w:t>A hipervulnerabilidade do consumidor idoso</w:t>
      </w:r>
    </w:p>
    <w:p w14:paraId="3122A8D5" w14:textId="77777777" w:rsidR="008C1585" w:rsidRDefault="008C1585" w:rsidP="008C1585">
      <w:pPr>
        <w:pStyle w:val="NormalWeb"/>
        <w:shd w:val="clear" w:color="auto" w:fill="FFFFFF"/>
        <w:spacing w:before="0" w:beforeAutospacing="0" w:after="240" w:afterAutospacing="0" w:line="360" w:lineRule="auto"/>
        <w:ind w:firstLine="709"/>
        <w:jc w:val="both"/>
      </w:pPr>
      <w:r>
        <w:rPr>
          <w:shd w:val="clear" w:color="auto" w:fill="FFFFFF"/>
        </w:rPr>
        <w:t xml:space="preserve">Em relação à </w:t>
      </w:r>
      <w:r w:rsidRPr="006A466B">
        <w:t xml:space="preserve">hipervulnerabilidade do consumidor idoso, Cristiano </w:t>
      </w:r>
      <w:proofErr w:type="spellStart"/>
      <w:r w:rsidRPr="006A466B">
        <w:t>Heineck</w:t>
      </w:r>
      <w:proofErr w:type="spellEnd"/>
      <w:r w:rsidRPr="006A466B">
        <w:t xml:space="preserve"> Schmitt (2014, p. 147) leciona que “o mercado de consumo gera desafios constantes e intensos aos consumidores, em geral, deles exigindo, cada vez mais, níveis de adaptações para a compreensão das novas tecnologias, bem como dos novos produtos e serviços negociados”.</w:t>
      </w:r>
    </w:p>
    <w:p w14:paraId="19B3C92D" w14:textId="77777777" w:rsidR="0091146A" w:rsidRPr="0091146A" w:rsidRDefault="00DE032D" w:rsidP="00742D3C">
      <w:pPr>
        <w:pStyle w:val="NormalWeb"/>
        <w:shd w:val="clear" w:color="auto" w:fill="FFFFFF"/>
        <w:spacing w:line="360" w:lineRule="auto"/>
        <w:ind w:firstLine="708"/>
        <w:jc w:val="both"/>
      </w:pPr>
      <w:r>
        <w:t xml:space="preserve"> Adriana Barreto aponta que a hipervulnerabilidade do consumidor idoso pode ser definida como uma situação social fática e objetiva de agravamento da vulnerabilidade da pessoa física consumidora, em razão de características pessoais aparentes ou conhecidas pelo fornecedor</w:t>
      </w:r>
      <w:r w:rsidR="006D7961">
        <w:t xml:space="preserve">, </w:t>
      </w:r>
      <w:r w:rsidR="006D7961" w:rsidRPr="006D7961">
        <w:t xml:space="preserve">pois é um leigo frente a um especialista organizado em cadeia de fornecimento de serviços, um leigo que necessita de forma premente dos serviços, muitas vezes frente à doença ou à morte iminente, e que deve, tal qual se busca, ser respeitado a fim de que finalmente seja alcançada a tão almejada </w:t>
      </w:r>
      <w:r w:rsidR="006D7961" w:rsidRPr="00B4519E">
        <w:t>Justiça</w:t>
      </w:r>
      <w:r w:rsidRPr="00B4519E">
        <w:t>.</w:t>
      </w:r>
      <w:r w:rsidR="00155E99">
        <w:t xml:space="preserve"> </w:t>
      </w:r>
      <w:r w:rsidR="00742D3C">
        <w:t xml:space="preserve">(2017, </w:t>
      </w:r>
      <w:hyperlink r:id="rId8" w:history="1">
        <w:r w:rsidR="00742D3C" w:rsidRPr="0091146A">
          <w:rPr>
            <w:rStyle w:val="Hyperlink"/>
            <w:color w:val="auto"/>
            <w:sz w:val="20"/>
            <w:szCs w:val="20"/>
          </w:rPr>
          <w:t>https://www.migalhas.com.br/quentes/270855/consumidor-idoso-e-hipervulneravel-e-deve-ser-protegido-pelo-cdc--aponta-especialista</w:t>
        </w:r>
      </w:hyperlink>
      <w:r w:rsidR="00742D3C">
        <w:rPr>
          <w:rStyle w:val="Hyperlink"/>
          <w:color w:val="auto"/>
          <w:sz w:val="20"/>
          <w:szCs w:val="20"/>
        </w:rPr>
        <w:t>)</w:t>
      </w:r>
    </w:p>
    <w:p w14:paraId="21397600" w14:textId="77777777" w:rsidR="006D7961" w:rsidRPr="00080566" w:rsidRDefault="006D7961" w:rsidP="006D7961">
      <w:pPr>
        <w:pStyle w:val="NormalWeb"/>
        <w:shd w:val="clear" w:color="auto" w:fill="FFFFFF"/>
        <w:spacing w:after="240" w:line="360" w:lineRule="auto"/>
        <w:ind w:firstLine="709"/>
        <w:jc w:val="both"/>
        <w:rPr>
          <w:color w:val="FF0000"/>
        </w:rPr>
      </w:pPr>
      <w:r>
        <w:t>Afirma ainda que</w:t>
      </w:r>
      <w:r w:rsidR="00857A08">
        <w:t>,</w:t>
      </w:r>
      <w:r>
        <w:t xml:space="preserve"> na busca </w:t>
      </w:r>
      <w:r w:rsidR="00DE032D" w:rsidRPr="006D7961">
        <w:t xml:space="preserve">pelo tratamento com igualdade, a vulnerabilidade física, psíquica e social fundamentam uma vulnerabilidade jurídica. Aos que são considerados diferentes, em razão do envelhecimento, precisa ser assegurada a igualdade jurídica com o objetivo de mitigar sua desigualdade material </w:t>
      </w:r>
      <w:r w:rsidRPr="006D7961">
        <w:t>em relação aos demais cidadãos. Tratando-se, portanto, de consumidor idoso, sua vulnerabilidade é potenc</w:t>
      </w:r>
      <w:r w:rsidR="00E35758">
        <w:t>ializada</w:t>
      </w:r>
      <w:r w:rsidRPr="006D7961">
        <w:t>.</w:t>
      </w:r>
      <w:r w:rsidR="00080566">
        <w:t xml:space="preserve"> </w:t>
      </w:r>
    </w:p>
    <w:p w14:paraId="3470AFBF" w14:textId="77777777" w:rsidR="006D7961" w:rsidRDefault="00DE032D" w:rsidP="00F068F3">
      <w:pPr>
        <w:pStyle w:val="NormalWeb"/>
        <w:shd w:val="clear" w:color="auto" w:fill="FFFFFF"/>
        <w:spacing w:before="0" w:beforeAutospacing="0" w:after="240" w:afterAutospacing="0" w:line="360" w:lineRule="auto"/>
        <w:ind w:firstLine="709"/>
        <w:jc w:val="both"/>
      </w:pPr>
      <w:r>
        <w:t>A</w:t>
      </w:r>
      <w:r w:rsidR="00B4519E">
        <w:t>lém diss</w:t>
      </w:r>
      <w:r w:rsidR="004C44A2">
        <w:t>o, os Tribunais</w:t>
      </w:r>
      <w:r w:rsidR="004C44A2" w:rsidRPr="00080566">
        <w:rPr>
          <w:color w:val="FF0000"/>
        </w:rPr>
        <w:t xml:space="preserve"> </w:t>
      </w:r>
      <w:r w:rsidR="004C44A2">
        <w:t>já vêm</w:t>
      </w:r>
      <w:r>
        <w:t xml:space="preserve"> reconhecendo a existência dessa categoria socialmente frágil e a necessidade de uma especial proteção, </w:t>
      </w:r>
      <w:r w:rsidR="00080566">
        <w:t>incluindo-se,</w:t>
      </w:r>
      <w:r>
        <w:t xml:space="preserve"> entre os sujeitos vulneráveis</w:t>
      </w:r>
      <w:r w:rsidR="00080566">
        <w:t>,</w:t>
      </w:r>
      <w:r>
        <w:t xml:space="preserve"> um subgrupo de sujeitos denominados de hipervulneráveis, entre os quais se destacam as pessoas idosas</w:t>
      </w:r>
      <w:r w:rsidR="004C44A2">
        <w:t>, como podemos ver nesse julgado:</w:t>
      </w:r>
    </w:p>
    <w:p w14:paraId="621312BE" w14:textId="77777777" w:rsidR="004C44A2" w:rsidRPr="004C44A2" w:rsidRDefault="004C44A2" w:rsidP="004C44A2">
      <w:pPr>
        <w:shd w:val="clear" w:color="auto" w:fill="FFFFFF"/>
        <w:ind w:left="2268"/>
        <w:jc w:val="both"/>
        <w:rPr>
          <w:rFonts w:ascii="Times New Roman" w:eastAsia="Times New Roman" w:hAnsi="Times New Roman" w:cs="Times New Roman"/>
          <w:color w:val="222222"/>
          <w:sz w:val="22"/>
          <w:lang w:eastAsia="pt-BR"/>
        </w:rPr>
      </w:pPr>
      <w:r w:rsidRPr="004C44A2">
        <w:rPr>
          <w:rFonts w:ascii="Times New Roman" w:eastAsia="Times New Roman" w:hAnsi="Times New Roman" w:cs="Times New Roman"/>
          <w:color w:val="222222"/>
          <w:sz w:val="22"/>
          <w:lang w:eastAsia="pt-BR"/>
        </w:rPr>
        <w:t xml:space="preserve">EMENTA: APELAÇÃO CÍVEL - AÇÃO REDIBITÓRIA C/C INDENIZAÇÃO POR DANO MORAL - RELAÇÃO DE CONSUMO - ENTRAVES INDEVIDOS OPOSTOS À SOLICITAÇÃO DE ALTERAÇÃO CONTRATUAL - RESTITUIÇÃO DOS VALORES PAGOS INDEVIDAMENTE PELO CONSUMIDOR - MATÉRIA FÁTICA PRESUMIDA VERDADEIRA POR AUSÊNCIA DE IMPUGNAÇÃO ESPECÍFICA - DANOS MORAIS CONFIGURADOS - DESCASO </w:t>
      </w:r>
      <w:r w:rsidRPr="004C44A2">
        <w:rPr>
          <w:rFonts w:ascii="Times New Roman" w:eastAsia="Times New Roman" w:hAnsi="Times New Roman" w:cs="Times New Roman"/>
          <w:color w:val="222222"/>
          <w:sz w:val="22"/>
          <w:lang w:eastAsia="pt-BR"/>
        </w:rPr>
        <w:lastRenderedPageBreak/>
        <w:t xml:space="preserve">NO TRATO DE </w:t>
      </w:r>
      <w:r w:rsidRPr="004C44A2">
        <w:rPr>
          <w:rFonts w:ascii="Times New Roman" w:eastAsia="Times New Roman" w:hAnsi="Times New Roman" w:cs="Times New Roman"/>
          <w:b/>
          <w:color w:val="222222"/>
          <w:sz w:val="22"/>
          <w:lang w:eastAsia="pt-BR"/>
        </w:rPr>
        <w:t>CONSUMIDORES HIPERVULNERÁVEIS</w:t>
      </w:r>
      <w:r w:rsidRPr="004C44A2">
        <w:rPr>
          <w:rFonts w:ascii="Times New Roman" w:eastAsia="Times New Roman" w:hAnsi="Times New Roman" w:cs="Times New Roman"/>
          <w:color w:val="222222"/>
          <w:sz w:val="22"/>
          <w:lang w:eastAsia="pt-BR"/>
        </w:rPr>
        <w:t xml:space="preserve"> - QUANTUM INDENIZATÓRIO - JUROS DE MORA - TERMO INCIAL - RELAÇÃO CONTRATUAL. Tendo sido presumida verdadeira a matéria fática alegada na inicial, por ausência de impugnação específica pela parte ré, o valor da restituição deve corresponder àquele indicado pela parte autora. A situação marcada pela criação de entraves indevidos ao pedido de alteração contratual formulado na via administrativa e que denota descaso no trato do consumidor, é causa inequívoca de dano moral, sobretudo, quando envolve consumidores hipervulneráveis. A indenização por danos morais deve ser arbitrada observando-se os critérios punitivo e compensatório da reparação, sem perder de vista a vedação ao enriquecimento sem causa e os princípios da proporcionalidade e da razoabilidade. Consoante entendimento consolidado na jurisprudência do colendo Superior Tribunal de Justiça, em se tratando de relação contratual, a fluência dos juros de mora incidentes sobre o valor da indenização por danos tem como termo inicial a data da citação.</w:t>
      </w:r>
    </w:p>
    <w:p w14:paraId="10C2F37E" w14:textId="77777777" w:rsidR="004C44A2" w:rsidRPr="004C44A2" w:rsidRDefault="004C44A2" w:rsidP="004C44A2">
      <w:pPr>
        <w:shd w:val="clear" w:color="auto" w:fill="FFFFFF"/>
        <w:ind w:left="2268"/>
        <w:jc w:val="both"/>
        <w:rPr>
          <w:rFonts w:ascii="Times New Roman" w:eastAsia="Times New Roman" w:hAnsi="Times New Roman" w:cs="Times New Roman"/>
          <w:color w:val="222222"/>
          <w:sz w:val="22"/>
          <w:lang w:eastAsia="pt-BR"/>
        </w:rPr>
      </w:pPr>
      <w:r w:rsidRPr="004C44A2">
        <w:rPr>
          <w:rFonts w:ascii="Times New Roman" w:eastAsia="Times New Roman" w:hAnsi="Times New Roman" w:cs="Times New Roman"/>
          <w:color w:val="222222"/>
          <w:sz w:val="22"/>
          <w:lang w:eastAsia="pt-BR"/>
        </w:rPr>
        <w:t>(TJ-MG - AC: 10000200727337001 MG, Relator: Mônica Libânio, Data de Julgamento: 01/09/2021, Câmaras Cíveis / 11ª CÂMARA CÍVEL, Data de Publicação: 01/09/2021)</w:t>
      </w:r>
    </w:p>
    <w:p w14:paraId="2203F4E7" w14:textId="77777777" w:rsidR="00EF7AC9" w:rsidRDefault="00EF7AC9" w:rsidP="00F068F3">
      <w:pPr>
        <w:pStyle w:val="NormalWeb"/>
        <w:shd w:val="clear" w:color="auto" w:fill="FFFFFF"/>
        <w:spacing w:before="0" w:beforeAutospacing="0" w:after="240" w:afterAutospacing="0" w:line="360" w:lineRule="auto"/>
        <w:ind w:firstLine="709"/>
        <w:jc w:val="both"/>
      </w:pPr>
    </w:p>
    <w:p w14:paraId="0CD70A61" w14:textId="77777777" w:rsidR="00857A08" w:rsidRDefault="00A915D0" w:rsidP="00F068F3">
      <w:pPr>
        <w:pStyle w:val="NormalWeb"/>
        <w:shd w:val="clear" w:color="auto" w:fill="FFFFFF"/>
        <w:spacing w:before="0" w:beforeAutospacing="0" w:after="240" w:afterAutospacing="0" w:line="360" w:lineRule="auto"/>
        <w:ind w:firstLine="709"/>
        <w:jc w:val="both"/>
      </w:pPr>
      <w:r>
        <w:t xml:space="preserve">Tal reconhecimento é de extrema importância, uma vez que os consumidores hipervulneráveis necessitam de uma maior atenção e cuidado, já que são ainda mais </w:t>
      </w:r>
      <w:r w:rsidR="007A6415">
        <w:t>suscetíveis</w:t>
      </w:r>
      <w:r>
        <w:t xml:space="preserve"> às práti</w:t>
      </w:r>
      <w:r w:rsidR="007A6415">
        <w:t>cas abusivas praticas no meio consumerista.</w:t>
      </w:r>
    </w:p>
    <w:p w14:paraId="30B5D127" w14:textId="77777777" w:rsidR="0024374F" w:rsidRDefault="0024374F" w:rsidP="00F068F3">
      <w:pPr>
        <w:spacing w:line="360" w:lineRule="auto"/>
        <w:ind w:firstLine="709"/>
        <w:jc w:val="both"/>
        <w:rPr>
          <w:rFonts w:ascii="Times New Roman" w:hAnsi="Times New Roman" w:cs="Times New Roman"/>
          <w:b/>
        </w:rPr>
      </w:pPr>
      <w:r w:rsidRPr="00D26DF4">
        <w:rPr>
          <w:rFonts w:ascii="Times New Roman" w:hAnsi="Times New Roman" w:cs="Times New Roman"/>
          <w:b/>
        </w:rPr>
        <w:t>2.3. Estatuto do idoso – Lei 10.741/2003</w:t>
      </w:r>
    </w:p>
    <w:p w14:paraId="4A259B8F" w14:textId="77777777" w:rsidR="00BA6ED9" w:rsidRDefault="00BA6ED9" w:rsidP="00F068F3">
      <w:pPr>
        <w:spacing w:line="360" w:lineRule="auto"/>
        <w:ind w:firstLine="709"/>
        <w:jc w:val="both"/>
        <w:rPr>
          <w:rFonts w:ascii="Times New Roman" w:hAnsi="Times New Roman" w:cs="Times New Roman"/>
        </w:rPr>
      </w:pPr>
      <w:r>
        <w:rPr>
          <w:rFonts w:ascii="Times New Roman" w:hAnsi="Times New Roman" w:cs="Times New Roman"/>
        </w:rPr>
        <w:t>A Lei 10.741</w:t>
      </w:r>
      <w:r w:rsidR="00AF6D62">
        <w:rPr>
          <w:rFonts w:ascii="Times New Roman" w:hAnsi="Times New Roman" w:cs="Times New Roman"/>
        </w:rPr>
        <w:t>,</w:t>
      </w:r>
      <w:r>
        <w:rPr>
          <w:rFonts w:ascii="Times New Roman" w:hAnsi="Times New Roman" w:cs="Times New Roman"/>
        </w:rPr>
        <w:t xml:space="preserve"> que </w:t>
      </w:r>
      <w:r w:rsidR="00D614AD">
        <w:rPr>
          <w:rFonts w:ascii="Times New Roman" w:hAnsi="Times New Roman" w:cs="Times New Roman"/>
        </w:rPr>
        <w:t>dispõe</w:t>
      </w:r>
      <w:r w:rsidR="007C181D">
        <w:rPr>
          <w:rFonts w:ascii="Times New Roman" w:hAnsi="Times New Roman" w:cs="Times New Roman"/>
        </w:rPr>
        <w:t xml:space="preserve"> </w:t>
      </w:r>
      <w:r>
        <w:rPr>
          <w:rFonts w:ascii="Times New Roman" w:hAnsi="Times New Roman" w:cs="Times New Roman"/>
        </w:rPr>
        <w:t>o estatuto do idoso</w:t>
      </w:r>
      <w:r w:rsidR="00AF6D62">
        <w:rPr>
          <w:rFonts w:ascii="Times New Roman" w:hAnsi="Times New Roman" w:cs="Times New Roman"/>
        </w:rPr>
        <w:t>,</w:t>
      </w:r>
      <w:r w:rsidR="00D614AD">
        <w:rPr>
          <w:rFonts w:ascii="Times New Roman" w:hAnsi="Times New Roman" w:cs="Times New Roman"/>
        </w:rPr>
        <w:t xml:space="preserve"> estabelece</w:t>
      </w:r>
      <w:r>
        <w:rPr>
          <w:rFonts w:ascii="Times New Roman" w:hAnsi="Times New Roman" w:cs="Times New Roman"/>
        </w:rPr>
        <w:t xml:space="preserve"> vários direitos e deveres, dentre eles </w:t>
      </w:r>
      <w:r w:rsidR="00DC1539">
        <w:rPr>
          <w:rFonts w:ascii="Times New Roman" w:hAnsi="Times New Roman" w:cs="Times New Roman"/>
        </w:rPr>
        <w:t xml:space="preserve">o </w:t>
      </w:r>
      <w:r w:rsidR="00DC1539" w:rsidRPr="00BA54A3">
        <w:rPr>
          <w:rFonts w:ascii="Times New Roman" w:hAnsi="Times New Roman" w:cs="Times New Roman"/>
        </w:rPr>
        <w:t xml:space="preserve">dever da família, da sociedade e do poder público </w:t>
      </w:r>
      <w:r w:rsidR="00DC1539">
        <w:rPr>
          <w:rFonts w:ascii="Times New Roman" w:hAnsi="Times New Roman" w:cs="Times New Roman"/>
        </w:rPr>
        <w:t xml:space="preserve">de </w:t>
      </w:r>
      <w:r w:rsidR="00DC1539" w:rsidRPr="00BA54A3">
        <w:rPr>
          <w:rFonts w:ascii="Times New Roman" w:hAnsi="Times New Roman" w:cs="Times New Roman"/>
        </w:rPr>
        <w:t>assegurar ao idoso, com absoluta prioridade, o efetivo direito à vida, à saúde, à alimentação, ao transporte, à moradia, à cultura, ao esporte, ao lazer, ao trabalho, à cidadania, à liberdade, à dignidade, ao respeito e à convivência familiar e comunitária</w:t>
      </w:r>
      <w:r w:rsidR="00DC1539">
        <w:rPr>
          <w:rFonts w:ascii="Times New Roman" w:hAnsi="Times New Roman" w:cs="Times New Roman"/>
        </w:rPr>
        <w:t>.</w:t>
      </w:r>
    </w:p>
    <w:p w14:paraId="1FCDA75A" w14:textId="77777777" w:rsidR="00DC1539" w:rsidRDefault="00DC1539" w:rsidP="00F068F3">
      <w:pPr>
        <w:spacing w:line="360" w:lineRule="auto"/>
        <w:ind w:firstLine="709"/>
        <w:jc w:val="both"/>
        <w:rPr>
          <w:rFonts w:ascii="Times New Roman" w:hAnsi="Times New Roman" w:cs="Times New Roman"/>
        </w:rPr>
      </w:pPr>
      <w:r w:rsidRPr="00DC1539">
        <w:rPr>
          <w:rFonts w:ascii="Times New Roman" w:hAnsi="Times New Roman" w:cs="Times New Roman"/>
        </w:rPr>
        <w:t xml:space="preserve">Christian de Paul de </w:t>
      </w:r>
      <w:proofErr w:type="spellStart"/>
      <w:r w:rsidRPr="00DC1539">
        <w:rPr>
          <w:rFonts w:ascii="Times New Roman" w:hAnsi="Times New Roman" w:cs="Times New Roman"/>
        </w:rPr>
        <w:t>Barchifontaine</w:t>
      </w:r>
      <w:proofErr w:type="spellEnd"/>
      <w:r>
        <w:rPr>
          <w:rFonts w:ascii="Times New Roman" w:hAnsi="Times New Roman" w:cs="Times New Roman"/>
        </w:rPr>
        <w:t xml:space="preserve"> classifica o estatuto da seguinte forma:</w:t>
      </w:r>
    </w:p>
    <w:p w14:paraId="2F99D87A" w14:textId="77777777" w:rsidR="00DC1539" w:rsidRDefault="00BA54A3" w:rsidP="00DC1539">
      <w:pPr>
        <w:ind w:left="2268"/>
        <w:jc w:val="both"/>
        <w:rPr>
          <w:rFonts w:ascii="Times New Roman" w:hAnsi="Times New Roman" w:cs="Times New Roman"/>
          <w:sz w:val="22"/>
        </w:rPr>
      </w:pPr>
      <w:r w:rsidRPr="00DC1539">
        <w:rPr>
          <w:rFonts w:ascii="Times New Roman" w:hAnsi="Times New Roman" w:cs="Times New Roman"/>
          <w:sz w:val="22"/>
        </w:rPr>
        <w:t>O Estatuto do Idoso é um verdadeiro exercício bioético. Começou pelo que poderia chamar de Comissão de Bioética, já que ele é fruto de trabalho conjunto de parlamentares, especialistas, profissionais das áreas de Saúde, Direito, Assistência Social e das entidades e organizações não governamentais voltadas para a defesa dos direitos e proteção aos idosos. Tudo está contemplado no Estatuto: a saúde, a educação, a habitação, a ação do Ministério Publico para acelerar processos em defesa do idoso. Poderíamos dizer que o Estatuto do Idoso representa um exercício de cidadania no resgate da dignidade da pessoa hu</w:t>
      </w:r>
      <w:r w:rsidR="00DC1539">
        <w:rPr>
          <w:rFonts w:ascii="Times New Roman" w:hAnsi="Times New Roman" w:cs="Times New Roman"/>
          <w:sz w:val="22"/>
        </w:rPr>
        <w:t>mana (contemplado na Bioética).</w:t>
      </w:r>
      <w:r w:rsidR="00742D3C">
        <w:rPr>
          <w:rFonts w:ascii="Times New Roman" w:hAnsi="Times New Roman" w:cs="Times New Roman"/>
          <w:sz w:val="22"/>
        </w:rPr>
        <w:t xml:space="preserve"> (FRANGE, p. 9. </w:t>
      </w:r>
      <w:r w:rsidR="00742D3C" w:rsidRPr="000D4271">
        <w:rPr>
          <w:rFonts w:ascii="Times New Roman" w:hAnsi="Times New Roman" w:cs="Times New Roman"/>
          <w:sz w:val="20"/>
          <w:szCs w:val="20"/>
        </w:rPr>
        <w:t>h</w:t>
      </w:r>
      <w:r w:rsidR="00742D3C" w:rsidRPr="000D4271">
        <w:rPr>
          <w:rFonts w:ascii="Times New Roman" w:hAnsi="Times New Roman" w:cs="Times New Roman"/>
          <w:sz w:val="20"/>
          <w:szCs w:val="20"/>
          <w:shd w:val="clear" w:color="auto" w:fill="FFFFFF"/>
        </w:rPr>
        <w:t>ttp://www.igrapiuna.ba.gov.br/Download/sec_social/Estatuto%20do%20Idoso%20-%20Comentado.pdf</w:t>
      </w:r>
      <w:r w:rsidR="00742D3C">
        <w:rPr>
          <w:rFonts w:ascii="Times New Roman" w:hAnsi="Times New Roman" w:cs="Times New Roman"/>
          <w:sz w:val="22"/>
        </w:rPr>
        <w:t>)</w:t>
      </w:r>
    </w:p>
    <w:p w14:paraId="3C127D50" w14:textId="77777777" w:rsidR="00DC1539" w:rsidRPr="00DC1539" w:rsidRDefault="00DC1539" w:rsidP="00DC1539">
      <w:pPr>
        <w:ind w:left="2268"/>
        <w:jc w:val="both"/>
        <w:rPr>
          <w:rFonts w:ascii="Times New Roman" w:hAnsi="Times New Roman" w:cs="Times New Roman"/>
          <w:sz w:val="22"/>
        </w:rPr>
      </w:pPr>
    </w:p>
    <w:p w14:paraId="2C5E3A5C" w14:textId="77777777" w:rsidR="00DC1539" w:rsidRDefault="00DC1539" w:rsidP="00F068F3">
      <w:pPr>
        <w:spacing w:line="360" w:lineRule="auto"/>
        <w:ind w:firstLine="709"/>
        <w:jc w:val="both"/>
        <w:rPr>
          <w:rFonts w:ascii="Times New Roman" w:hAnsi="Times New Roman" w:cs="Times New Roman"/>
        </w:rPr>
      </w:pPr>
    </w:p>
    <w:p w14:paraId="35F19C29" w14:textId="77777777" w:rsidR="000D4271" w:rsidRDefault="000D4271" w:rsidP="00F068F3">
      <w:pPr>
        <w:spacing w:line="360" w:lineRule="auto"/>
        <w:ind w:firstLine="709"/>
        <w:jc w:val="both"/>
        <w:rPr>
          <w:rFonts w:ascii="Times New Roman" w:hAnsi="Times New Roman" w:cs="Times New Roman"/>
        </w:rPr>
      </w:pPr>
      <w:r>
        <w:rPr>
          <w:rFonts w:ascii="Times New Roman" w:hAnsi="Times New Roman" w:cs="Times New Roman"/>
        </w:rPr>
        <w:lastRenderedPageBreak/>
        <w:t>A</w:t>
      </w:r>
      <w:r w:rsidR="00883957">
        <w:rPr>
          <w:rFonts w:ascii="Times New Roman" w:hAnsi="Times New Roman" w:cs="Times New Roman"/>
        </w:rPr>
        <w:t>lém</w:t>
      </w:r>
      <w:r>
        <w:rPr>
          <w:rFonts w:ascii="Times New Roman" w:hAnsi="Times New Roman" w:cs="Times New Roman"/>
        </w:rPr>
        <w:t xml:space="preserve"> disso, também transforma em crime maus tratos a pessoas idosas, com</w:t>
      </w:r>
      <w:r w:rsidR="00BA54A3" w:rsidRPr="00BA54A3">
        <w:rPr>
          <w:rFonts w:ascii="Times New Roman" w:hAnsi="Times New Roman" w:cs="Times New Roman"/>
        </w:rPr>
        <w:t xml:space="preserve"> penas que vão até 12 anos de prisão, proíbe a discriminação do idoso nos planos de saúde pela cobrança de v</w:t>
      </w:r>
      <w:r>
        <w:rPr>
          <w:rFonts w:ascii="Times New Roman" w:hAnsi="Times New Roman" w:cs="Times New Roman"/>
        </w:rPr>
        <w:t xml:space="preserve">alores diferenciados por idade, </w:t>
      </w:r>
      <w:r w:rsidR="00BA54A3" w:rsidRPr="00BA54A3">
        <w:rPr>
          <w:rFonts w:ascii="Times New Roman" w:hAnsi="Times New Roman" w:cs="Times New Roman"/>
        </w:rPr>
        <w:t>assegura o fornecimento de medicamentos, especialmente os de uso continuado, como para tr</w:t>
      </w:r>
      <w:r>
        <w:rPr>
          <w:rFonts w:ascii="Times New Roman" w:hAnsi="Times New Roman" w:cs="Times New Roman"/>
        </w:rPr>
        <w:t>atar hipertensão e diabetes,</w:t>
      </w:r>
      <w:r w:rsidR="00BA54A3" w:rsidRPr="00BA54A3">
        <w:rPr>
          <w:rFonts w:ascii="Times New Roman" w:hAnsi="Times New Roman" w:cs="Times New Roman"/>
        </w:rPr>
        <w:t xml:space="preserve"> assegura aos idosos com mais de 65 anos que vivem em famílias carentes o</w:t>
      </w:r>
      <w:r>
        <w:rPr>
          <w:rFonts w:ascii="Times New Roman" w:hAnsi="Times New Roman" w:cs="Times New Roman"/>
        </w:rPr>
        <w:t xml:space="preserve"> benefício de um salário mínimo,</w:t>
      </w:r>
      <w:r w:rsidR="00BA6ED9">
        <w:rPr>
          <w:rFonts w:ascii="Times New Roman" w:hAnsi="Times New Roman" w:cs="Times New Roman"/>
        </w:rPr>
        <w:t xml:space="preserve"> </w:t>
      </w:r>
      <w:r w:rsidR="00BA54A3" w:rsidRPr="00BA54A3">
        <w:rPr>
          <w:rFonts w:ascii="Times New Roman" w:hAnsi="Times New Roman" w:cs="Times New Roman"/>
        </w:rPr>
        <w:t>garante prioridade ao idoso na compra de unidades em pr</w:t>
      </w:r>
      <w:r>
        <w:rPr>
          <w:rFonts w:ascii="Times New Roman" w:hAnsi="Times New Roman" w:cs="Times New Roman"/>
        </w:rPr>
        <w:t>ogramas habitacionais públicos, entre outros direitos.</w:t>
      </w:r>
    </w:p>
    <w:p w14:paraId="1100A857" w14:textId="77777777" w:rsidR="00BA54A3" w:rsidRPr="00BA54A3" w:rsidRDefault="00BA54A3" w:rsidP="00F068F3">
      <w:pPr>
        <w:spacing w:line="360" w:lineRule="auto"/>
        <w:ind w:firstLine="709"/>
        <w:jc w:val="both"/>
        <w:rPr>
          <w:rFonts w:ascii="Times New Roman" w:hAnsi="Times New Roman" w:cs="Times New Roman"/>
          <w:b/>
        </w:rPr>
      </w:pPr>
    </w:p>
    <w:p w14:paraId="6146C41B" w14:textId="77777777" w:rsidR="0024374F" w:rsidRPr="00D26DF4" w:rsidRDefault="0024374F" w:rsidP="00F068F3">
      <w:pPr>
        <w:spacing w:line="360" w:lineRule="auto"/>
        <w:ind w:firstLine="709"/>
        <w:jc w:val="both"/>
        <w:rPr>
          <w:rFonts w:ascii="Times New Roman" w:hAnsi="Times New Roman" w:cs="Times New Roman"/>
          <w:b/>
        </w:rPr>
      </w:pPr>
      <w:r w:rsidRPr="00D26DF4">
        <w:rPr>
          <w:rFonts w:ascii="Times New Roman" w:hAnsi="Times New Roman" w:cs="Times New Roman"/>
          <w:b/>
        </w:rPr>
        <w:t>2.4. Entendimento da Constituição Federal</w:t>
      </w:r>
    </w:p>
    <w:p w14:paraId="72DE29FB" w14:textId="77777777" w:rsidR="00072A57" w:rsidRDefault="00E35758" w:rsidP="0019643C">
      <w:pPr>
        <w:pStyle w:val="NormalWeb"/>
        <w:shd w:val="clear" w:color="auto" w:fill="FFFFFF"/>
        <w:spacing w:before="0" w:beforeAutospacing="0" w:after="240" w:afterAutospacing="0" w:line="360" w:lineRule="auto"/>
        <w:ind w:firstLine="709"/>
        <w:jc w:val="both"/>
      </w:pPr>
      <w:r>
        <w:t>A</w:t>
      </w:r>
      <w:r w:rsidR="008C1585" w:rsidRPr="006A466B">
        <w:t xml:space="preserve"> Constituição Federal dispõe em seu art. 230 que a família, a sociedade e o Estado têm o dever de amparar as pessoas idosas, assegurando sua participação na comunidade, defendendo sua dignidade e bem-estar e garantindo-lhes o direito à vida. Isso deve ocorrer especialmente na área consumerista, em razão da fragilidade que ele assume frente ao mercado contemporâneo. </w:t>
      </w:r>
    </w:p>
    <w:p w14:paraId="4FFD6AC8" w14:textId="77777777" w:rsidR="00464B42" w:rsidRPr="00D26DF4" w:rsidRDefault="0024374F" w:rsidP="00464B42">
      <w:pPr>
        <w:pStyle w:val="NormalWeb"/>
        <w:shd w:val="clear" w:color="auto" w:fill="FFFFFF"/>
        <w:spacing w:before="0" w:beforeAutospacing="0" w:after="240" w:afterAutospacing="0" w:line="360" w:lineRule="auto"/>
        <w:ind w:firstLine="709"/>
        <w:jc w:val="both"/>
        <w:rPr>
          <w:b/>
        </w:rPr>
      </w:pPr>
      <w:r w:rsidRPr="00D26DF4">
        <w:rPr>
          <w:b/>
        </w:rPr>
        <w:t xml:space="preserve">3. A influência da pandemia nos empréstimos consignados </w:t>
      </w:r>
      <w:r w:rsidR="00464B42">
        <w:rPr>
          <w:b/>
        </w:rPr>
        <w:t>e o</w:t>
      </w:r>
      <w:r w:rsidR="00464B42" w:rsidRPr="00D26DF4">
        <w:rPr>
          <w:b/>
        </w:rPr>
        <w:t xml:space="preserve"> crescimento demasiado desse tipo de empréstimo</w:t>
      </w:r>
    </w:p>
    <w:p w14:paraId="47F66A60" w14:textId="77777777" w:rsidR="00464B42" w:rsidRDefault="00464B42" w:rsidP="00464B42">
      <w:pPr>
        <w:pStyle w:val="NormalWeb"/>
        <w:shd w:val="clear" w:color="auto" w:fill="FFFFFF"/>
        <w:spacing w:before="0" w:beforeAutospacing="0" w:after="240" w:afterAutospacing="0" w:line="360" w:lineRule="auto"/>
        <w:ind w:firstLine="709"/>
        <w:jc w:val="both"/>
      </w:pPr>
      <w:r>
        <w:t>Esse tipo de empréstimo já era muito comum entre os idosos</w:t>
      </w:r>
      <w:r w:rsidR="00AF6D62">
        <w:t>. C</w:t>
      </w:r>
      <w:r>
        <w:t>onforme um estudo publicado em 2018 pela Defensoria Pública</w:t>
      </w:r>
      <w:r w:rsidR="00AF6D62">
        <w:t xml:space="preserve"> do Rio de Janeiro</w:t>
      </w:r>
      <w:r w:rsidR="00FF2FED">
        <w:rPr>
          <w:rStyle w:val="Refdenotaderodap"/>
        </w:rPr>
        <w:footnoteReference w:id="3"/>
      </w:r>
      <w:r>
        <w:t>, o maior número de consumidores se concentra na faixa de 70 anos ou mais (29,35%), seguida pelas faixas de 55 a 59 anos (18,48%) e 60 a 69 anos (16,3%). Juntas, essas três faixas correspondem a 64,13% dos consumidores.</w:t>
      </w:r>
    </w:p>
    <w:p w14:paraId="535BB80B" w14:textId="77777777" w:rsidR="00464B42" w:rsidRDefault="00464B42" w:rsidP="00464B42">
      <w:pPr>
        <w:pStyle w:val="NormalWeb"/>
        <w:shd w:val="clear" w:color="auto" w:fill="FFFFFF"/>
        <w:spacing w:before="0" w:beforeAutospacing="0" w:after="240" w:afterAutospacing="0" w:line="360" w:lineRule="auto"/>
        <w:ind w:firstLine="709"/>
        <w:jc w:val="both"/>
      </w:pPr>
      <w:r w:rsidRPr="000D00B1">
        <w:t>Durante a pandemia, o número de casos relacionados a empréstim</w:t>
      </w:r>
      <w:r>
        <w:t>os realizados sem autorização de</w:t>
      </w:r>
      <w:r w:rsidRPr="000D00B1">
        <w:t xml:space="preserve"> idoso</w:t>
      </w:r>
      <w:r>
        <w:t>s e aposentados</w:t>
      </w:r>
      <w:r w:rsidRPr="000D00B1">
        <w:t xml:space="preserve">, que </w:t>
      </w:r>
      <w:r>
        <w:t>são</w:t>
      </w:r>
      <w:r w:rsidRPr="000D00B1">
        <w:t xml:space="preserve"> considerado</w:t>
      </w:r>
      <w:r>
        <w:t>s hipervulneráveis</w:t>
      </w:r>
      <w:r w:rsidRPr="000D00B1">
        <w:t>, cresceu expressivamente: de janeiro a novembro de 2019 foram 2.290 registros no Procon de SP, e no mesmo período em 2020, 5.426, o que representa um crescimento de 137%</w:t>
      </w:r>
      <w:r>
        <w:t xml:space="preserve"> </w:t>
      </w:r>
      <w:r w:rsidRPr="000D00B1">
        <w:t>de maneira demasiada</w:t>
      </w:r>
      <w:r>
        <w:t>.</w:t>
      </w:r>
      <w:r>
        <w:rPr>
          <w:rStyle w:val="Refdenotaderodap"/>
        </w:rPr>
        <w:footnoteReference w:id="4"/>
      </w:r>
    </w:p>
    <w:p w14:paraId="00B06FAB" w14:textId="77777777" w:rsidR="0019643C" w:rsidRDefault="0024374F" w:rsidP="0019643C">
      <w:pPr>
        <w:pStyle w:val="NormalWeb"/>
        <w:shd w:val="clear" w:color="auto" w:fill="FFFFFF"/>
        <w:spacing w:before="0" w:beforeAutospacing="0" w:after="240" w:afterAutospacing="0" w:line="360" w:lineRule="auto"/>
        <w:ind w:firstLine="709"/>
        <w:jc w:val="both"/>
        <w:rPr>
          <w:b/>
        </w:rPr>
      </w:pPr>
      <w:r w:rsidRPr="00D26DF4">
        <w:rPr>
          <w:b/>
        </w:rPr>
        <w:t xml:space="preserve">3.1. Lei dos Empréstimos Consignados - Lei 10.820/2003 </w:t>
      </w:r>
      <w:r w:rsidR="00D10575">
        <w:rPr>
          <w:b/>
        </w:rPr>
        <w:t>c/c Lei 8.213/91</w:t>
      </w:r>
    </w:p>
    <w:p w14:paraId="0BB8954B" w14:textId="77777777" w:rsidR="00452AE7" w:rsidRPr="007E447B" w:rsidRDefault="007E447B" w:rsidP="00F060BD">
      <w:pPr>
        <w:pStyle w:val="NormalWeb"/>
        <w:shd w:val="clear" w:color="auto" w:fill="FFFFFF"/>
        <w:spacing w:before="0" w:beforeAutospacing="0" w:after="240" w:afterAutospacing="0" w:line="360" w:lineRule="auto"/>
        <w:ind w:firstLine="709"/>
        <w:jc w:val="both"/>
      </w:pPr>
      <w:r>
        <w:lastRenderedPageBreak/>
        <w:t xml:space="preserve">A Lei </w:t>
      </w:r>
      <w:r w:rsidR="0022709D">
        <w:t xml:space="preserve">10.820/03 </w:t>
      </w:r>
      <w:r w:rsidR="00E6122C" w:rsidRPr="007E447B">
        <w:rPr>
          <w:rStyle w:val="Forte"/>
          <w:b w:val="0"/>
          <w:bCs w:val="0"/>
        </w:rPr>
        <w:t>dispõe sobre a autorização para desconto de prestações em folha de pagamento e dá outras providências</w:t>
      </w:r>
      <w:r w:rsidR="0022709D">
        <w:rPr>
          <w:rStyle w:val="Forte"/>
          <w:b w:val="0"/>
          <w:bCs w:val="0"/>
        </w:rPr>
        <w:t xml:space="preserve">, e foi </w:t>
      </w:r>
      <w:r w:rsidR="00E6122C" w:rsidRPr="007E447B">
        <w:t xml:space="preserve">criada com o </w:t>
      </w:r>
      <w:r w:rsidR="0022709D">
        <w:t>intuito</w:t>
      </w:r>
      <w:r w:rsidR="00E6122C" w:rsidRPr="007E447B">
        <w:t xml:space="preserve"> de ajudar a regulamentar essa opção de crédito e </w:t>
      </w:r>
      <w:r w:rsidR="0022709D">
        <w:t>oferecer</w:t>
      </w:r>
      <w:r w:rsidR="00E6122C" w:rsidRPr="007E447B">
        <w:t xml:space="preserve"> mais segurança para quem o solicita.</w:t>
      </w:r>
      <w:r w:rsidR="00F060BD">
        <w:t xml:space="preserve"> </w:t>
      </w:r>
      <w:r w:rsidR="00452AE7" w:rsidRPr="007E447B">
        <w:t>Para os fins desta lei, são consideradas consignações voluntárias as autorizadas pelo empregado.</w:t>
      </w:r>
    </w:p>
    <w:p w14:paraId="43440B21" w14:textId="77777777" w:rsidR="00452AE7" w:rsidRDefault="00452AE7" w:rsidP="00452AE7">
      <w:pPr>
        <w:pStyle w:val="NormalWeb"/>
        <w:shd w:val="clear" w:color="auto" w:fill="FFFFFF"/>
        <w:spacing w:before="0" w:beforeAutospacing="0" w:after="240" w:afterAutospacing="0" w:line="360" w:lineRule="auto"/>
        <w:ind w:firstLine="709"/>
        <w:jc w:val="both"/>
        <w:rPr>
          <w:shd w:val="clear" w:color="auto" w:fill="FFFFFF"/>
        </w:rPr>
      </w:pPr>
      <w:r>
        <w:t xml:space="preserve">Somando-se a isso, </w:t>
      </w:r>
      <w:r w:rsidR="00D10575">
        <w:t>a Lei 8.213/91</w:t>
      </w:r>
      <w:r w:rsidR="00D10575" w:rsidRPr="00D10575">
        <w:t xml:space="preserve"> </w:t>
      </w:r>
      <w:r w:rsidR="00D10575" w:rsidRPr="00D10575">
        <w:rPr>
          <w:shd w:val="clear" w:color="auto" w:fill="FFFFFF"/>
        </w:rPr>
        <w:t>dispõe sobre os Planos de Benefícios da Previdência Social e dá outras providências</w:t>
      </w:r>
      <w:r>
        <w:rPr>
          <w:shd w:val="clear" w:color="auto" w:fill="FFFFFF"/>
        </w:rPr>
        <w:t>. O artigo 115 dessa lei discorre sobre o que pode ser descontado dos benefícios, citando no inciso VI:</w:t>
      </w:r>
    </w:p>
    <w:p w14:paraId="246BCEC3" w14:textId="77777777" w:rsidR="0022709D" w:rsidRPr="00452AE7" w:rsidRDefault="00452AE7" w:rsidP="00452AE7">
      <w:pPr>
        <w:pStyle w:val="NormalWeb"/>
        <w:shd w:val="clear" w:color="auto" w:fill="FFFFFF"/>
        <w:spacing w:before="0" w:beforeAutospacing="0" w:after="240" w:afterAutospacing="0"/>
        <w:ind w:left="2268"/>
        <w:jc w:val="both"/>
        <w:rPr>
          <w:color w:val="000000"/>
          <w:sz w:val="20"/>
          <w:szCs w:val="20"/>
        </w:rPr>
      </w:pPr>
      <w:r>
        <w:rPr>
          <w:color w:val="000000"/>
          <w:sz w:val="20"/>
          <w:szCs w:val="20"/>
        </w:rPr>
        <w:t>“</w:t>
      </w:r>
      <w:r w:rsidR="00F060BD">
        <w:rPr>
          <w:color w:val="000000"/>
          <w:sz w:val="20"/>
          <w:szCs w:val="20"/>
        </w:rPr>
        <w:t xml:space="preserve">VI- </w:t>
      </w:r>
      <w:r w:rsidR="0022709D" w:rsidRPr="00452AE7">
        <w:rPr>
          <w:color w:val="000000"/>
          <w:sz w:val="20"/>
          <w:szCs w:val="20"/>
        </w:rPr>
        <w:t xml:space="preserve">pagamento de empréstimos, financiamentos, cartões de crédito e operações de arrendamento mercantil concedidos por instituições financeiras e sociedades de arrendamento mercantil, ou por entidades fechadas ou abertas de previdência complementar, públicas e privadas, </w:t>
      </w:r>
      <w:r w:rsidR="0022709D" w:rsidRPr="00452AE7">
        <w:rPr>
          <w:b/>
          <w:color w:val="000000"/>
          <w:sz w:val="20"/>
          <w:szCs w:val="20"/>
        </w:rPr>
        <w:t>quando expressamente autorizado pelo beneficiário</w:t>
      </w:r>
      <w:r w:rsidR="0022709D" w:rsidRPr="00452AE7">
        <w:rPr>
          <w:color w:val="000000"/>
          <w:sz w:val="20"/>
          <w:szCs w:val="20"/>
        </w:rPr>
        <w:t>, até o limite de 35% (trinta e cinco por cento) do valor do benefício, sendo 5% (cinco por cento) destinados exclusivamente para:         </w:t>
      </w:r>
      <w:hyperlink r:id="rId9" w:anchor="art2" w:history="1">
        <w:r w:rsidR="0022709D" w:rsidRPr="00452AE7">
          <w:rPr>
            <w:rStyle w:val="Hyperlink"/>
            <w:sz w:val="20"/>
            <w:szCs w:val="20"/>
          </w:rPr>
          <w:t>(Redação dada pela Lei nº 13.183, de 2015)</w:t>
        </w:r>
      </w:hyperlink>
      <w:r w:rsidR="0022709D" w:rsidRPr="00452AE7">
        <w:rPr>
          <w:color w:val="000000"/>
          <w:sz w:val="20"/>
          <w:szCs w:val="20"/>
        </w:rPr>
        <w:t>     </w:t>
      </w:r>
      <w:hyperlink r:id="rId10" w:history="1">
        <w:r w:rsidR="0022709D" w:rsidRPr="00452AE7">
          <w:rPr>
            <w:rStyle w:val="Hyperlink"/>
            <w:sz w:val="20"/>
            <w:szCs w:val="20"/>
          </w:rPr>
          <w:t>(Vide Medida Provisória nº 1.006, de 2020)</w:t>
        </w:r>
      </w:hyperlink>
      <w:r w:rsidR="0022709D" w:rsidRPr="00452AE7">
        <w:rPr>
          <w:color w:val="000000"/>
          <w:sz w:val="20"/>
          <w:szCs w:val="20"/>
        </w:rPr>
        <w:t>        </w:t>
      </w:r>
      <w:hyperlink r:id="rId11" w:anchor="art1" w:history="1">
        <w:r w:rsidR="0022709D" w:rsidRPr="00452AE7">
          <w:rPr>
            <w:rStyle w:val="Hyperlink"/>
            <w:sz w:val="20"/>
            <w:szCs w:val="20"/>
          </w:rPr>
          <w:t>(Vide Lei nº 14.131, de 2021)</w:t>
        </w:r>
      </w:hyperlink>
      <w:r>
        <w:rPr>
          <w:color w:val="000000"/>
          <w:sz w:val="20"/>
          <w:szCs w:val="20"/>
        </w:rPr>
        <w:t>”.</w:t>
      </w:r>
    </w:p>
    <w:p w14:paraId="56E7E1DC" w14:textId="77777777" w:rsidR="00F060BD" w:rsidRPr="00F060BD" w:rsidRDefault="00F060BD" w:rsidP="0019643C">
      <w:pPr>
        <w:pStyle w:val="NormalWeb"/>
        <w:shd w:val="clear" w:color="auto" w:fill="FFFFFF"/>
        <w:spacing w:before="0" w:beforeAutospacing="0" w:after="240" w:afterAutospacing="0" w:line="360" w:lineRule="auto"/>
        <w:ind w:firstLine="709"/>
        <w:jc w:val="both"/>
      </w:pPr>
      <w:r>
        <w:t xml:space="preserve">Ou seja, </w:t>
      </w:r>
      <w:r w:rsidR="00A71B44">
        <w:t>ambas as leis foram criadas com o intuito de regulamentar e dar segurança para quem solicita um empréstimo consignado.</w:t>
      </w:r>
    </w:p>
    <w:p w14:paraId="18D098A7" w14:textId="77777777" w:rsidR="00E35758" w:rsidRDefault="003C7049" w:rsidP="0019643C">
      <w:pPr>
        <w:pStyle w:val="NormalWeb"/>
        <w:shd w:val="clear" w:color="auto" w:fill="FFFFFF"/>
        <w:spacing w:before="0" w:beforeAutospacing="0" w:after="240" w:afterAutospacing="0" w:line="360" w:lineRule="auto"/>
        <w:ind w:firstLine="709"/>
        <w:jc w:val="both"/>
        <w:rPr>
          <w:b/>
        </w:rPr>
      </w:pPr>
      <w:r>
        <w:rPr>
          <w:b/>
        </w:rPr>
        <w:t>3.</w:t>
      </w:r>
      <w:r w:rsidR="00F060BD">
        <w:rPr>
          <w:b/>
        </w:rPr>
        <w:t>2</w:t>
      </w:r>
      <w:r w:rsidR="00E35758" w:rsidRPr="00E35758">
        <w:rPr>
          <w:b/>
        </w:rPr>
        <w:t>. Lei 14.181/2021</w:t>
      </w:r>
    </w:p>
    <w:p w14:paraId="157D0F72" w14:textId="77777777" w:rsidR="0019643C" w:rsidRDefault="0019643C" w:rsidP="0019643C">
      <w:pPr>
        <w:pStyle w:val="NormalWeb"/>
        <w:shd w:val="clear" w:color="auto" w:fill="FFFFFF"/>
        <w:spacing w:before="0" w:beforeAutospacing="0" w:after="240" w:afterAutospacing="0" w:line="360" w:lineRule="auto"/>
        <w:ind w:firstLine="709"/>
        <w:jc w:val="both"/>
        <w:rPr>
          <w:color w:val="000000"/>
        </w:rPr>
      </w:pPr>
      <w:r>
        <w:t xml:space="preserve">Foi </w:t>
      </w:r>
      <w:r w:rsidR="00072A57">
        <w:t>incluído</w:t>
      </w:r>
      <w:r>
        <w:t xml:space="preserve"> pela </w:t>
      </w:r>
      <w:r w:rsidR="00826B34" w:rsidRPr="00072A57">
        <w:t>L</w:t>
      </w:r>
      <w:r w:rsidRPr="00072A57">
        <w:t xml:space="preserve">ei </w:t>
      </w:r>
      <w:r w:rsidR="00826B34" w:rsidRPr="00072A57">
        <w:t>nº</w:t>
      </w:r>
      <w:r w:rsidR="00072A57" w:rsidRPr="00072A57">
        <w:t xml:space="preserve"> 14.181/21</w:t>
      </w:r>
      <w:r w:rsidR="00826B34" w:rsidRPr="00072A57">
        <w:t>,</w:t>
      </w:r>
      <w:r w:rsidR="00826B34" w:rsidRPr="00826B34">
        <w:rPr>
          <w:color w:val="FF0000"/>
        </w:rPr>
        <w:t xml:space="preserve"> </w:t>
      </w:r>
      <w:r>
        <w:t>n</w:t>
      </w:r>
      <w:r w:rsidR="00E35758">
        <w:t xml:space="preserve">o Código de Defesa do Consumidor, em seu artigo 54-C, </w:t>
      </w:r>
      <w:r w:rsidR="00826B34">
        <w:t>que é</w:t>
      </w:r>
      <w:r w:rsidR="00E35758">
        <w:t xml:space="preserve"> veda</w:t>
      </w:r>
      <w:r w:rsidR="00826B34">
        <w:t>do,</w:t>
      </w:r>
      <w:r w:rsidR="00E35758">
        <w:t xml:space="preserve"> expressa ou implicitamente, na oferta de crédito ao consumidor, publicitária ou não, </w:t>
      </w:r>
      <w:r w:rsidR="00E35758" w:rsidRPr="00E35758">
        <w:rPr>
          <w:color w:val="000000"/>
        </w:rPr>
        <w:t>assediar ou pressionar o consumidor para contratar o fornecimento de produto, serviço ou crédito, principalmente se se tratar de consumidor idoso, analfabeto, doente ou em estado de vulnerabilidade agravada ou se a contratação envolver prêmio</w:t>
      </w:r>
      <w:r w:rsidR="00E35758">
        <w:rPr>
          <w:color w:val="000000"/>
        </w:rPr>
        <w:t xml:space="preserve">. </w:t>
      </w:r>
    </w:p>
    <w:p w14:paraId="79C6348B" w14:textId="77777777" w:rsidR="0024374F" w:rsidRPr="0019643C" w:rsidRDefault="0024374F" w:rsidP="0019643C">
      <w:pPr>
        <w:pStyle w:val="NormalWeb"/>
        <w:shd w:val="clear" w:color="auto" w:fill="FFFFFF"/>
        <w:spacing w:before="0" w:beforeAutospacing="0" w:after="240" w:afterAutospacing="0" w:line="360" w:lineRule="auto"/>
        <w:ind w:firstLine="709"/>
        <w:jc w:val="both"/>
        <w:rPr>
          <w:b/>
        </w:rPr>
      </w:pPr>
      <w:r w:rsidRPr="0019643C">
        <w:rPr>
          <w:b/>
        </w:rPr>
        <w:t>3.</w:t>
      </w:r>
      <w:r w:rsidR="004440D3">
        <w:rPr>
          <w:b/>
        </w:rPr>
        <w:t>3</w:t>
      </w:r>
      <w:r w:rsidRPr="0019643C">
        <w:rPr>
          <w:b/>
        </w:rPr>
        <w:t>. A prática abusiva</w:t>
      </w:r>
    </w:p>
    <w:p w14:paraId="43DAB82D" w14:textId="77777777" w:rsidR="00D26DF4" w:rsidRPr="0019643C" w:rsidRDefault="00826B34" w:rsidP="0019643C">
      <w:pPr>
        <w:pStyle w:val="NormalWeb"/>
        <w:shd w:val="clear" w:color="auto" w:fill="FFFFFF"/>
        <w:spacing w:before="0" w:beforeAutospacing="0" w:after="240" w:afterAutospacing="0" w:line="360" w:lineRule="auto"/>
        <w:ind w:firstLine="709"/>
        <w:jc w:val="both"/>
      </w:pPr>
      <w:r>
        <w:t>Tem sido comum</w:t>
      </w:r>
      <w:r w:rsidR="00F068F3">
        <w:t xml:space="preserve"> o</w:t>
      </w:r>
      <w:r w:rsidR="00D26DF4" w:rsidRPr="0019643C">
        <w:t>s bancos realiza</w:t>
      </w:r>
      <w:r>
        <w:t>re</w:t>
      </w:r>
      <w:r w:rsidR="00D26DF4" w:rsidRPr="0019643C">
        <w:t xml:space="preserve">m o depósito de </w:t>
      </w:r>
      <w:r w:rsidR="00E34312">
        <w:t>determinado</w:t>
      </w:r>
      <w:r w:rsidR="00D26DF4" w:rsidRPr="0019643C">
        <w:t xml:space="preserve"> valor na conta do beneficiado, e</w:t>
      </w:r>
      <w:r>
        <w:t>,</w:t>
      </w:r>
      <w:r w:rsidR="00D26DF4" w:rsidRPr="0019643C">
        <w:t xml:space="preserve"> automaticamente</w:t>
      </w:r>
      <w:r>
        <w:t>,</w:t>
      </w:r>
      <w:r w:rsidR="00D26DF4" w:rsidRPr="0019643C">
        <w:t xml:space="preserve"> inser</w:t>
      </w:r>
      <w:r>
        <w:t>i</w:t>
      </w:r>
      <w:r w:rsidR="00E34312">
        <w:t>r</w:t>
      </w:r>
      <w:r w:rsidR="00D26DF4" w:rsidRPr="0019643C">
        <w:t xml:space="preserve"> as parcelas em seu benefício previdenciário. Entretanto, muitas dessas pessoas não possuem acesso constante ao seu extrato, só percebe</w:t>
      </w:r>
      <w:r>
        <w:t>ndo</w:t>
      </w:r>
      <w:r w:rsidR="00D26DF4" w:rsidRPr="0019643C">
        <w:t xml:space="preserve"> que foi realizado um depósito e que estão sendo cobradas parcelas após algum tempo.</w:t>
      </w:r>
    </w:p>
    <w:p w14:paraId="38D85D9B" w14:textId="77777777" w:rsidR="00863427" w:rsidRDefault="00D26DF4" w:rsidP="0019643C">
      <w:pPr>
        <w:spacing w:line="360" w:lineRule="auto"/>
        <w:ind w:firstLine="709"/>
        <w:jc w:val="both"/>
        <w:rPr>
          <w:rFonts w:ascii="Times New Roman" w:hAnsi="Times New Roman" w:cs="Times New Roman"/>
        </w:rPr>
      </w:pPr>
      <w:r w:rsidRPr="0019643C">
        <w:rPr>
          <w:rFonts w:ascii="Times New Roman" w:hAnsi="Times New Roman" w:cs="Times New Roman"/>
        </w:rPr>
        <w:lastRenderedPageBreak/>
        <w:t>A impressão que se dá</w:t>
      </w:r>
      <w:r w:rsidR="00826B34">
        <w:rPr>
          <w:rFonts w:ascii="Times New Roman" w:hAnsi="Times New Roman" w:cs="Times New Roman"/>
        </w:rPr>
        <w:t>,</w:t>
      </w:r>
      <w:r w:rsidRPr="0019643C">
        <w:rPr>
          <w:rFonts w:ascii="Times New Roman" w:hAnsi="Times New Roman" w:cs="Times New Roman"/>
        </w:rPr>
        <w:t xml:space="preserve"> nesses casos, é que os bancos tentam a “sorte”, pois muitas dessas pessoas demoram algum tempo para perceber que o empréstimo foi realizado sem sua prévia autorização/solicitação, e pelo fato d</w:t>
      </w:r>
      <w:r w:rsidR="00826B34">
        <w:rPr>
          <w:rFonts w:ascii="Times New Roman" w:hAnsi="Times New Roman" w:cs="Times New Roman"/>
        </w:rPr>
        <w:t xml:space="preserve">e </w:t>
      </w:r>
      <w:r w:rsidRPr="0019643C">
        <w:rPr>
          <w:rFonts w:ascii="Times New Roman" w:hAnsi="Times New Roman" w:cs="Times New Roman"/>
        </w:rPr>
        <w:t>o desconto ocorrer diretamente em seu benef</w:t>
      </w:r>
      <w:r w:rsidR="00826B34">
        <w:rPr>
          <w:rFonts w:ascii="Times New Roman" w:hAnsi="Times New Roman" w:cs="Times New Roman"/>
        </w:rPr>
        <w:t>í</w:t>
      </w:r>
      <w:r w:rsidRPr="0019643C">
        <w:rPr>
          <w:rFonts w:ascii="Times New Roman" w:hAnsi="Times New Roman" w:cs="Times New Roman"/>
        </w:rPr>
        <w:t>cio, muitos não conseguem identific</w:t>
      </w:r>
      <w:r w:rsidR="00826B34">
        <w:rPr>
          <w:rFonts w:ascii="Times New Roman" w:hAnsi="Times New Roman" w:cs="Times New Roman"/>
        </w:rPr>
        <w:t>á</w:t>
      </w:r>
      <w:r w:rsidRPr="0019643C">
        <w:rPr>
          <w:rFonts w:ascii="Times New Roman" w:hAnsi="Times New Roman" w:cs="Times New Roman"/>
        </w:rPr>
        <w:t>-lo de imediato</w:t>
      </w:r>
      <w:r w:rsidR="00826B34">
        <w:rPr>
          <w:rFonts w:ascii="Times New Roman" w:hAnsi="Times New Roman" w:cs="Times New Roman"/>
        </w:rPr>
        <w:t>. Quando vêm a identificar</w:t>
      </w:r>
      <w:r w:rsidRPr="0019643C">
        <w:rPr>
          <w:rFonts w:ascii="Times New Roman" w:hAnsi="Times New Roman" w:cs="Times New Roman"/>
        </w:rPr>
        <w:t>, encontram dificuldades para estorno e reembolso do valor já descontado</w:t>
      </w:r>
      <w:r w:rsidR="00826B34">
        <w:rPr>
          <w:rFonts w:ascii="Times New Roman" w:hAnsi="Times New Roman" w:cs="Times New Roman"/>
        </w:rPr>
        <w:t>. Tal fato enseja a desistência do consumidor em reclamar, o que o leva a aceitar o depósito e se conformar com o abuso sofrido.</w:t>
      </w:r>
      <w:r w:rsidR="00863427">
        <w:rPr>
          <w:rFonts w:ascii="Times New Roman" w:hAnsi="Times New Roman" w:cs="Times New Roman"/>
        </w:rPr>
        <w:t xml:space="preserve"> </w:t>
      </w:r>
      <w:r w:rsidR="00E34312">
        <w:rPr>
          <w:rFonts w:ascii="Times New Roman" w:hAnsi="Times New Roman" w:cs="Times New Roman"/>
        </w:rPr>
        <w:t>O caso pode ser ilustrado por meio de</w:t>
      </w:r>
      <w:r w:rsidR="00863427">
        <w:rPr>
          <w:rFonts w:ascii="Times New Roman" w:hAnsi="Times New Roman" w:cs="Times New Roman"/>
        </w:rPr>
        <w:t xml:space="preserve"> um processo no Procon de Uberaba, no qual um consumidor acabou aceitando ficar com o empréstimo após encontrar uma série de dificuldades para seu cancelamento:</w:t>
      </w:r>
    </w:p>
    <w:p w14:paraId="5F8BD32E" w14:textId="77777777" w:rsidR="00863427" w:rsidRPr="00863427" w:rsidRDefault="00863427" w:rsidP="00863427">
      <w:pPr>
        <w:pStyle w:val="SemEspaamento"/>
        <w:ind w:left="2268"/>
        <w:jc w:val="both"/>
        <w:rPr>
          <w:rFonts w:ascii="Times New Roman" w:hAnsi="Times New Roman" w:cs="Times New Roman"/>
          <w:sz w:val="22"/>
          <w:lang w:eastAsia="pt-BR"/>
        </w:rPr>
      </w:pPr>
      <w:r w:rsidRPr="00863427">
        <w:rPr>
          <w:rFonts w:ascii="Times New Roman" w:hAnsi="Times New Roman" w:cs="Times New Roman"/>
          <w:sz w:val="22"/>
          <w:lang w:eastAsia="pt-BR"/>
        </w:rPr>
        <w:t>            </w:t>
      </w:r>
    </w:p>
    <w:p w14:paraId="12317DAE" w14:textId="77777777" w:rsidR="009E3FC1" w:rsidRDefault="00863427" w:rsidP="009E3FC1">
      <w:pPr>
        <w:pStyle w:val="SemEspaamento"/>
        <w:ind w:left="2268"/>
        <w:jc w:val="both"/>
        <w:rPr>
          <w:rFonts w:ascii="Times New Roman" w:hAnsi="Times New Roman" w:cs="Times New Roman"/>
          <w:sz w:val="22"/>
          <w:lang w:eastAsia="pt-BR"/>
        </w:rPr>
      </w:pPr>
      <w:r w:rsidRPr="00863427">
        <w:rPr>
          <w:rFonts w:ascii="Times New Roman" w:hAnsi="Times New Roman" w:cs="Times New Roman"/>
          <w:i/>
          <w:iCs/>
          <w:sz w:val="22"/>
          <w:lang w:eastAsia="pt-BR"/>
        </w:rPr>
        <w:t>Ementa: Processo administrativo. Reclamada realizou um empréstimo consignado sem a autorização/solicitação do Reclamante. Reclamante pugnou pelo cancelamento do contrato, restituição das parcelas cobradas indevidamente e um boleto para devolução do valor depositado em sua conta. Reclamante desistiu formalmente do presente processo administrativo, pois decidiu aceitar o empréstimo.</w:t>
      </w:r>
      <w:r w:rsidR="007A6415">
        <w:rPr>
          <w:rFonts w:ascii="Times New Roman" w:hAnsi="Times New Roman" w:cs="Times New Roman"/>
          <w:i/>
          <w:iCs/>
          <w:sz w:val="22"/>
          <w:lang w:eastAsia="pt-BR"/>
        </w:rPr>
        <w:t xml:space="preserve"> </w:t>
      </w:r>
      <w:r w:rsidRPr="00863427">
        <w:rPr>
          <w:rFonts w:ascii="Times New Roman" w:hAnsi="Times New Roman" w:cs="Times New Roman"/>
          <w:i/>
          <w:iCs/>
          <w:sz w:val="22"/>
          <w:lang w:eastAsia="pt-BR"/>
        </w:rPr>
        <w:t>Decisão Administrativa Não Fundamentada/Encerrada.</w:t>
      </w:r>
      <w:r w:rsidR="009E3FC1" w:rsidRPr="009E3FC1">
        <w:rPr>
          <w:rFonts w:ascii="Times New Roman" w:hAnsi="Times New Roman" w:cs="Times New Roman"/>
          <w:sz w:val="22"/>
          <w:lang w:eastAsia="pt-BR"/>
        </w:rPr>
        <w:t xml:space="preserve"> </w:t>
      </w:r>
      <w:r w:rsidR="009E3FC1">
        <w:rPr>
          <w:rFonts w:ascii="Times New Roman" w:hAnsi="Times New Roman" w:cs="Times New Roman"/>
          <w:sz w:val="22"/>
          <w:lang w:eastAsia="pt-BR"/>
        </w:rPr>
        <w:t>(</w:t>
      </w:r>
      <w:r w:rsidR="009E3FC1" w:rsidRPr="00863427">
        <w:rPr>
          <w:rFonts w:ascii="Times New Roman" w:hAnsi="Times New Roman" w:cs="Times New Roman"/>
          <w:sz w:val="22"/>
          <w:lang w:eastAsia="pt-BR"/>
        </w:rPr>
        <w:t>PROCESSO ADMINISTRATIVO: 31.022.001.20-0006090</w:t>
      </w:r>
      <w:r w:rsidR="009E3FC1">
        <w:rPr>
          <w:rFonts w:ascii="Times New Roman" w:hAnsi="Times New Roman" w:cs="Times New Roman"/>
          <w:sz w:val="22"/>
          <w:lang w:eastAsia="pt-BR"/>
        </w:rPr>
        <w:t>).</w:t>
      </w:r>
      <w:r w:rsidR="006448AC">
        <w:rPr>
          <w:rStyle w:val="Refdenotaderodap"/>
          <w:rFonts w:ascii="Times New Roman" w:hAnsi="Times New Roman" w:cs="Times New Roman"/>
          <w:sz w:val="22"/>
          <w:lang w:eastAsia="pt-BR"/>
        </w:rPr>
        <w:footnoteReference w:id="5"/>
      </w:r>
    </w:p>
    <w:p w14:paraId="0FAF3A41" w14:textId="77777777" w:rsidR="00E34312" w:rsidRDefault="00E34312" w:rsidP="009E3FC1">
      <w:pPr>
        <w:pStyle w:val="SemEspaamento"/>
        <w:ind w:left="2268"/>
        <w:jc w:val="both"/>
        <w:rPr>
          <w:rFonts w:ascii="Times New Roman" w:hAnsi="Times New Roman" w:cs="Times New Roman"/>
          <w:sz w:val="22"/>
          <w:lang w:eastAsia="pt-BR"/>
        </w:rPr>
      </w:pPr>
    </w:p>
    <w:p w14:paraId="505A9260" w14:textId="77777777" w:rsidR="00E34312" w:rsidRPr="00863427" w:rsidRDefault="007A6415" w:rsidP="007A6415">
      <w:pPr>
        <w:pStyle w:val="SemEspaamento"/>
        <w:spacing w:line="360" w:lineRule="auto"/>
        <w:ind w:firstLine="709"/>
        <w:jc w:val="both"/>
        <w:rPr>
          <w:rFonts w:ascii="Times New Roman" w:hAnsi="Times New Roman" w:cs="Times New Roman"/>
          <w:sz w:val="22"/>
          <w:lang w:eastAsia="pt-BR"/>
        </w:rPr>
      </w:pPr>
      <w:r>
        <w:rPr>
          <w:rFonts w:ascii="Times New Roman" w:hAnsi="Times New Roman" w:cs="Times New Roman"/>
          <w:sz w:val="22"/>
          <w:lang w:eastAsia="pt-BR"/>
        </w:rPr>
        <w:t xml:space="preserve">Casos assim infelizmente são comuns já que os consumidores hipervulneráveis muitas vezes encontram várias barreiras para o cancelamento de um empréstimo que está sendo descontado em seu benefício sem </w:t>
      </w:r>
      <w:r w:rsidR="003C2F4F">
        <w:rPr>
          <w:rFonts w:ascii="Times New Roman" w:hAnsi="Times New Roman" w:cs="Times New Roman"/>
          <w:sz w:val="22"/>
          <w:lang w:eastAsia="pt-BR"/>
        </w:rPr>
        <w:t>a</w:t>
      </w:r>
      <w:r>
        <w:rPr>
          <w:rFonts w:ascii="Times New Roman" w:hAnsi="Times New Roman" w:cs="Times New Roman"/>
          <w:sz w:val="22"/>
          <w:lang w:eastAsia="pt-BR"/>
        </w:rPr>
        <w:t xml:space="preserve"> sua vontade/solicitação. </w:t>
      </w:r>
      <w:r w:rsidR="003C2F4F">
        <w:rPr>
          <w:rFonts w:ascii="Times New Roman" w:hAnsi="Times New Roman" w:cs="Times New Roman"/>
          <w:sz w:val="22"/>
          <w:lang w:eastAsia="pt-BR"/>
        </w:rPr>
        <w:t>E ai quando precisam sair de suas casas por diversas vezes, principalmente durante a pandemia, acabam desistindo e aceitando o empréstimo por acharem que será a saída mais fácil, o que não é nada justo.</w:t>
      </w:r>
    </w:p>
    <w:p w14:paraId="3DAE40A5" w14:textId="77777777" w:rsidR="00863427" w:rsidRPr="00863427" w:rsidRDefault="00863427" w:rsidP="00863427">
      <w:pPr>
        <w:pStyle w:val="SemEspaamento"/>
        <w:ind w:left="2268"/>
        <w:jc w:val="both"/>
        <w:rPr>
          <w:rFonts w:ascii="Times New Roman" w:hAnsi="Times New Roman" w:cs="Times New Roman"/>
          <w:sz w:val="22"/>
          <w:lang w:eastAsia="pt-BR"/>
        </w:rPr>
      </w:pPr>
    </w:p>
    <w:p w14:paraId="60F2D6A0" w14:textId="77777777" w:rsidR="0024374F" w:rsidRPr="0019643C" w:rsidRDefault="0024374F" w:rsidP="0019643C">
      <w:pPr>
        <w:spacing w:line="360" w:lineRule="auto"/>
        <w:ind w:firstLine="709"/>
        <w:jc w:val="both"/>
        <w:rPr>
          <w:rFonts w:ascii="Times New Roman" w:hAnsi="Times New Roman" w:cs="Times New Roman"/>
          <w:b/>
        </w:rPr>
      </w:pPr>
      <w:r w:rsidRPr="0019643C">
        <w:rPr>
          <w:rFonts w:ascii="Times New Roman" w:hAnsi="Times New Roman" w:cs="Times New Roman"/>
          <w:b/>
        </w:rPr>
        <w:t xml:space="preserve">4. </w:t>
      </w:r>
      <w:r w:rsidR="00C320A0">
        <w:rPr>
          <w:rFonts w:ascii="Times New Roman" w:hAnsi="Times New Roman" w:cs="Times New Roman"/>
          <w:b/>
        </w:rPr>
        <w:t>Medidas</w:t>
      </w:r>
      <w:r w:rsidRPr="0019643C">
        <w:rPr>
          <w:rFonts w:ascii="Times New Roman" w:hAnsi="Times New Roman" w:cs="Times New Roman"/>
          <w:b/>
        </w:rPr>
        <w:t xml:space="preserve"> tomadas pelos Procons para coibir os abusos</w:t>
      </w:r>
    </w:p>
    <w:p w14:paraId="5F20AC6A" w14:textId="77777777" w:rsidR="00D26DF4" w:rsidRPr="006D6927" w:rsidRDefault="00D26DF4" w:rsidP="00D26DF4">
      <w:pPr>
        <w:pStyle w:val="NormalWeb"/>
        <w:shd w:val="clear" w:color="auto" w:fill="FFFFFF"/>
        <w:spacing w:before="0" w:beforeAutospacing="0" w:after="240" w:afterAutospacing="0" w:line="360" w:lineRule="auto"/>
        <w:ind w:firstLine="709"/>
        <w:jc w:val="both"/>
        <w:rPr>
          <w:color w:val="1A1A1A"/>
          <w:shd w:val="clear" w:color="auto" w:fill="FFFFFF"/>
        </w:rPr>
      </w:pPr>
      <w:r>
        <w:rPr>
          <w:color w:val="1A1A1A"/>
          <w:shd w:val="clear" w:color="auto" w:fill="FFFFFF"/>
        </w:rPr>
        <w:t xml:space="preserve">O Procon de São Paulo enviou um ofício ao Instituto Nacional do Seguro Social (INSS) com o objetivo de solicitar que o </w:t>
      </w:r>
      <w:r w:rsidR="00AD23B4">
        <w:rPr>
          <w:color w:val="1A1A1A"/>
          <w:shd w:val="clear" w:color="auto" w:fill="FFFFFF"/>
        </w:rPr>
        <w:t>I</w:t>
      </w:r>
      <w:r>
        <w:rPr>
          <w:color w:val="1A1A1A"/>
          <w:shd w:val="clear" w:color="auto" w:fill="FFFFFF"/>
        </w:rPr>
        <w:t xml:space="preserve">nstituto não faça desconto no benefício enquanto as instituições financeiras não comprovarem que o empréstimo foi realmente solicitado pelo consumidor, e que crie mecanismos para mitigar os danos sofridos </w:t>
      </w:r>
      <w:proofErr w:type="gramStart"/>
      <w:r>
        <w:rPr>
          <w:color w:val="1A1A1A"/>
          <w:shd w:val="clear" w:color="auto" w:fill="FFFFFF"/>
        </w:rPr>
        <w:t>pelo mesmo</w:t>
      </w:r>
      <w:proofErr w:type="gramEnd"/>
      <w:r>
        <w:rPr>
          <w:color w:val="1A1A1A"/>
          <w:shd w:val="clear" w:color="auto" w:fill="FFFFFF"/>
        </w:rPr>
        <w:t>. Nesse viés, o diretor executivo do Procon de SP, Fernando Capez afirmou:</w:t>
      </w:r>
    </w:p>
    <w:p w14:paraId="038334C1" w14:textId="77777777" w:rsidR="00D26DF4" w:rsidRDefault="00D26DF4" w:rsidP="00AD23B4">
      <w:pPr>
        <w:pStyle w:val="NormalWeb"/>
        <w:shd w:val="clear" w:color="auto" w:fill="FFFFFF"/>
        <w:spacing w:before="0" w:beforeAutospacing="0" w:after="240" w:afterAutospacing="0"/>
        <w:ind w:left="2268"/>
        <w:jc w:val="both"/>
        <w:rPr>
          <w:sz w:val="22"/>
          <w:szCs w:val="22"/>
        </w:rPr>
      </w:pPr>
      <w:r w:rsidRPr="001F5C4C">
        <w:rPr>
          <w:sz w:val="22"/>
          <w:szCs w:val="22"/>
        </w:rPr>
        <w:t xml:space="preserve">“É inadmissível que alguém seja considerado devedor de um empréstimo que não solicitou, principalmente quando os pagamentos são em descontos no contracheque, sem que ele tenha direito sequer de negociá-los. Trata-se de prática abusiva e esperamos que o INSS </w:t>
      </w:r>
      <w:r w:rsidRPr="001F5C4C">
        <w:rPr>
          <w:sz w:val="22"/>
          <w:szCs w:val="22"/>
        </w:rPr>
        <w:lastRenderedPageBreak/>
        <w:t>imediatamente interrompa os descontos até que fique comprovado que o empréstimo foi autorizado”. – Fernando Capez, diretor executivo do Procon de SP.</w:t>
      </w:r>
      <w:r w:rsidR="00DA4B95">
        <w:rPr>
          <w:sz w:val="22"/>
          <w:szCs w:val="22"/>
        </w:rPr>
        <w:t xml:space="preserve"> (</w:t>
      </w:r>
      <w:r w:rsidR="00F626F2">
        <w:rPr>
          <w:sz w:val="22"/>
          <w:szCs w:val="22"/>
        </w:rPr>
        <w:t xml:space="preserve">2020, </w:t>
      </w:r>
      <w:r w:rsidR="00F626F2" w:rsidRPr="00F626F2">
        <w:rPr>
          <w:sz w:val="22"/>
          <w:szCs w:val="22"/>
        </w:rPr>
        <w:t>https://www.procon.sp.gov.br/procon-sp-envia-oficio-ao-inss/</w:t>
      </w:r>
      <w:r w:rsidR="00F626F2">
        <w:rPr>
          <w:sz w:val="22"/>
          <w:szCs w:val="22"/>
        </w:rPr>
        <w:t>)</w:t>
      </w:r>
    </w:p>
    <w:p w14:paraId="5B8B8636" w14:textId="77777777" w:rsidR="00AD23B4" w:rsidRPr="001F6084" w:rsidRDefault="001F6084" w:rsidP="001F6084">
      <w:pPr>
        <w:pStyle w:val="NormalWeb"/>
        <w:shd w:val="clear" w:color="auto" w:fill="FFFFFF"/>
        <w:spacing w:before="0" w:beforeAutospacing="0" w:after="240" w:afterAutospacing="0" w:line="360" w:lineRule="auto"/>
        <w:ind w:firstLine="709"/>
        <w:jc w:val="both"/>
      </w:pPr>
      <w:r w:rsidRPr="001F6084">
        <w:t>Atitudes assim são extremamente necessárias para que os abusos cessem, e as instituições entendam que esses consu</w:t>
      </w:r>
      <w:r>
        <w:t>midores possuem sim Órgãos que visam garantir seus direitos.</w:t>
      </w:r>
    </w:p>
    <w:p w14:paraId="12A8A501" w14:textId="77777777" w:rsidR="0024374F" w:rsidRPr="00D26DF4" w:rsidRDefault="0024374F" w:rsidP="0019643C">
      <w:pPr>
        <w:spacing w:line="360" w:lineRule="auto"/>
        <w:ind w:firstLine="709"/>
        <w:jc w:val="both"/>
        <w:rPr>
          <w:rFonts w:ascii="Times New Roman" w:hAnsi="Times New Roman" w:cs="Times New Roman"/>
          <w:b/>
        </w:rPr>
      </w:pPr>
      <w:r w:rsidRPr="00D26DF4">
        <w:rPr>
          <w:rFonts w:ascii="Times New Roman" w:hAnsi="Times New Roman" w:cs="Times New Roman"/>
          <w:b/>
        </w:rPr>
        <w:t>4.1. Ação proposta pelo Procon de Uberaba em parceria com o Instituto de Defesa Coletiva</w:t>
      </w:r>
    </w:p>
    <w:p w14:paraId="6ACED39A" w14:textId="77777777" w:rsidR="00D26DF4" w:rsidRDefault="007A3E9E" w:rsidP="007A3E9E">
      <w:pPr>
        <w:pStyle w:val="NormalWeb"/>
        <w:shd w:val="clear" w:color="auto" w:fill="FFFFFF"/>
        <w:spacing w:before="0" w:beforeAutospacing="0" w:after="240" w:afterAutospacing="0"/>
        <w:ind w:firstLine="708"/>
        <w:jc w:val="both"/>
      </w:pPr>
      <w:proofErr w:type="gramStart"/>
      <w:r>
        <w:t>O Procon de Uberaba, em parceria com o Instituto de Defesa Coletiva, propuseram</w:t>
      </w:r>
      <w:proofErr w:type="gramEnd"/>
      <w:r>
        <w:t xml:space="preserve"> a ação de </w:t>
      </w:r>
      <w:r>
        <w:rPr>
          <w:color w:val="1A1A1A"/>
          <w:sz w:val="22"/>
          <w:szCs w:val="22"/>
          <w:shd w:val="clear" w:color="auto" w:fill="FFFFFF"/>
        </w:rPr>
        <w:t xml:space="preserve">nº </w:t>
      </w:r>
      <w:r w:rsidRPr="001F5C4C">
        <w:rPr>
          <w:sz w:val="22"/>
          <w:szCs w:val="22"/>
        </w:rPr>
        <w:t>55155846-15.2020.8.13.0024</w:t>
      </w:r>
      <w:r>
        <w:rPr>
          <w:sz w:val="22"/>
          <w:szCs w:val="22"/>
        </w:rPr>
        <w:t>,</w:t>
      </w:r>
      <w:r w:rsidRPr="007A3E9E">
        <w:rPr>
          <w:color w:val="FF0000"/>
        </w:rPr>
        <w:t xml:space="preserve"> </w:t>
      </w:r>
      <w:r>
        <w:t xml:space="preserve">contra o Banco C6, cuja decisão, proferida pelo </w:t>
      </w:r>
      <w:r w:rsidR="00D26DF4">
        <w:t>Juiz Eduardo Veloso Lago</w:t>
      </w:r>
      <w:r>
        <w:t>, ressalta</w:t>
      </w:r>
      <w:r w:rsidR="00D26DF4">
        <w:t xml:space="preserve">: </w:t>
      </w:r>
    </w:p>
    <w:p w14:paraId="1B98BCA6" w14:textId="77777777" w:rsidR="00D26DF4" w:rsidRPr="0051344C" w:rsidRDefault="00D26DF4" w:rsidP="00D26DF4">
      <w:pPr>
        <w:pStyle w:val="NormalWeb"/>
        <w:shd w:val="clear" w:color="auto" w:fill="FFFFFF"/>
        <w:spacing w:before="0" w:beforeAutospacing="0" w:after="240" w:afterAutospacing="0"/>
        <w:ind w:left="2268"/>
        <w:jc w:val="both"/>
        <w:rPr>
          <w:color w:val="1A1A1A"/>
          <w:sz w:val="22"/>
          <w:szCs w:val="22"/>
          <w:shd w:val="clear" w:color="auto" w:fill="FFFFFF"/>
        </w:rPr>
      </w:pPr>
      <w:r w:rsidRPr="0051344C">
        <w:rPr>
          <w:color w:val="1A1A1A"/>
          <w:sz w:val="22"/>
          <w:szCs w:val="22"/>
          <w:shd w:val="clear" w:color="auto" w:fill="FFFFFF"/>
        </w:rPr>
        <w:t>Se praticado em grande escala, o expediente artificioso utilizado pode ser bastante rentável, porquanto atinge uma quantidade expressiva de consumidores hipervulneráveis, muito dos quais sequer tomam ciência exata da situação ocorrida ou diligenciam para defesa de seus direitos, acabando por acatar um empréstimo não solicitado e assumir o correlato pagamento das parcelas mensais, nas quais estão embutidos juros elevados, que retratam o lucro da instituição financeira</w:t>
      </w:r>
      <w:r w:rsidR="007A3E9E">
        <w:rPr>
          <w:color w:val="1A1A1A"/>
          <w:sz w:val="22"/>
          <w:szCs w:val="22"/>
          <w:shd w:val="clear" w:color="auto" w:fill="FFFFFF"/>
        </w:rPr>
        <w:t>.</w:t>
      </w:r>
    </w:p>
    <w:p w14:paraId="4D89EFF7" w14:textId="77777777" w:rsidR="007A3E9E" w:rsidRDefault="00D26DF4" w:rsidP="00D26DF4">
      <w:pPr>
        <w:pStyle w:val="NormalWeb"/>
        <w:shd w:val="clear" w:color="auto" w:fill="FFFFFF"/>
        <w:spacing w:before="0" w:beforeAutospacing="0" w:after="240" w:afterAutospacing="0" w:line="360" w:lineRule="auto"/>
        <w:ind w:firstLine="709"/>
        <w:jc w:val="both"/>
      </w:pPr>
      <w:r>
        <w:t xml:space="preserve">Na referida decisão, o Juiz determinou que o </w:t>
      </w:r>
      <w:r w:rsidRPr="0051344C">
        <w:t>Banco</w:t>
      </w:r>
      <w:r>
        <w:t xml:space="preserve"> C6 Bank</w:t>
      </w:r>
    </w:p>
    <w:p w14:paraId="3FC7B165" w14:textId="77777777" w:rsidR="00D26DF4" w:rsidRPr="007A3E9E" w:rsidRDefault="00D26DF4" w:rsidP="007A3E9E">
      <w:pPr>
        <w:pStyle w:val="NormalWeb"/>
        <w:shd w:val="clear" w:color="auto" w:fill="FFFFFF"/>
        <w:spacing w:before="0" w:beforeAutospacing="0" w:after="240" w:afterAutospacing="0"/>
        <w:ind w:left="2126"/>
        <w:jc w:val="both"/>
        <w:rPr>
          <w:sz w:val="22"/>
          <w:szCs w:val="22"/>
        </w:rPr>
      </w:pPr>
      <w:r w:rsidRPr="007A3E9E">
        <w:rPr>
          <w:sz w:val="22"/>
          <w:szCs w:val="22"/>
        </w:rPr>
        <w:t>a) se abstenha de conceder empréstimos consignados sem a prévia solicitação e/ou aquiescência dos consumidores, sob pena de multa de R$50.000,00 por evento que caracterize descumprimento; b) apenas realize operações de empréstimos consignados mediante autorização expressa dos consumidores, manifestada através de instrumento escrito devidamente assinado, ou por meio eletrônico com uso de senha personalíssima; vedada a contratação por telefone ou outros meios diversos; sob pena de multa de R$50.000,00 por evento que caracterize descumprimento.</w:t>
      </w:r>
    </w:p>
    <w:p w14:paraId="6AED4149" w14:textId="77777777" w:rsidR="00D26DF4" w:rsidRPr="007A3E9E" w:rsidRDefault="00D26DF4" w:rsidP="0019643C">
      <w:pPr>
        <w:pStyle w:val="NormalWeb"/>
        <w:shd w:val="clear" w:color="auto" w:fill="FFFFFF"/>
        <w:spacing w:before="0" w:beforeAutospacing="0" w:after="240" w:afterAutospacing="0" w:line="360" w:lineRule="auto"/>
        <w:ind w:firstLine="709"/>
        <w:jc w:val="both"/>
        <w:rPr>
          <w:color w:val="FF0000"/>
          <w:shd w:val="clear" w:color="auto" w:fill="FFFFFF"/>
        </w:rPr>
      </w:pPr>
      <w:r>
        <w:t xml:space="preserve">Somando-se a isso, a </w:t>
      </w:r>
      <w:r w:rsidRPr="00017E35">
        <w:t>presidente do Instituto de Defesa Coletiva, a a</w:t>
      </w:r>
      <w:r>
        <w:t>dvogada Lillian Salgado confirmou</w:t>
      </w:r>
      <w:r w:rsidRPr="00017E35">
        <w:t xml:space="preserve"> que </w:t>
      </w:r>
      <w:r w:rsidRPr="00017E35">
        <w:rPr>
          <w:shd w:val="clear" w:color="auto" w:fill="FFFFFF"/>
        </w:rPr>
        <w:t>"Foram inúmeros relatos de consumidores lesados, que tentavam descobrir a origem do depósito não autorizado e, portanto, tem o direito à devolução do valor não solicitado".</w:t>
      </w:r>
      <w:r w:rsidR="00A260AF">
        <w:rPr>
          <w:rStyle w:val="Refdenotaderodap"/>
          <w:shd w:val="clear" w:color="auto" w:fill="FFFFFF"/>
        </w:rPr>
        <w:footnoteReference w:id="6"/>
      </w:r>
      <w:r w:rsidR="00A260AF">
        <w:rPr>
          <w:shd w:val="clear" w:color="auto" w:fill="FFFFFF"/>
        </w:rPr>
        <w:t>.</w:t>
      </w:r>
    </w:p>
    <w:p w14:paraId="2AEE864E" w14:textId="77777777" w:rsidR="0024374F" w:rsidRPr="00D26DF4" w:rsidRDefault="0024374F" w:rsidP="0019643C">
      <w:pPr>
        <w:spacing w:line="360" w:lineRule="auto"/>
        <w:ind w:firstLine="709"/>
        <w:jc w:val="both"/>
        <w:rPr>
          <w:rFonts w:ascii="Times New Roman" w:hAnsi="Times New Roman" w:cs="Times New Roman"/>
          <w:b/>
        </w:rPr>
      </w:pPr>
      <w:r w:rsidRPr="00D26DF4">
        <w:rPr>
          <w:rFonts w:ascii="Times New Roman" w:hAnsi="Times New Roman" w:cs="Times New Roman"/>
          <w:b/>
        </w:rPr>
        <w:t>4.2. Importância da publicidade deste assunto</w:t>
      </w:r>
    </w:p>
    <w:p w14:paraId="1BA330AF" w14:textId="77777777" w:rsidR="0024374F" w:rsidRDefault="0024374F" w:rsidP="0019643C">
      <w:pPr>
        <w:spacing w:line="360" w:lineRule="auto"/>
        <w:ind w:firstLine="709"/>
        <w:jc w:val="both"/>
        <w:rPr>
          <w:rFonts w:ascii="Times New Roman" w:hAnsi="Times New Roman" w:cs="Times New Roman"/>
        </w:rPr>
      </w:pPr>
    </w:p>
    <w:p w14:paraId="5E8F74F3" w14:textId="77777777" w:rsidR="00F40114" w:rsidRDefault="001E1667" w:rsidP="0019643C">
      <w:pPr>
        <w:pStyle w:val="NormalWeb"/>
        <w:shd w:val="clear" w:color="auto" w:fill="FFFFFF"/>
        <w:spacing w:before="0" w:beforeAutospacing="0" w:after="240" w:afterAutospacing="0" w:line="360" w:lineRule="auto"/>
        <w:ind w:firstLine="709"/>
        <w:jc w:val="both"/>
        <w:rPr>
          <w:shd w:val="clear" w:color="auto" w:fill="FFFFFF"/>
        </w:rPr>
      </w:pPr>
      <w:r>
        <w:rPr>
          <w:shd w:val="clear" w:color="auto" w:fill="FFFFFF"/>
        </w:rPr>
        <w:lastRenderedPageBreak/>
        <w:t>A</w:t>
      </w:r>
      <w:r w:rsidR="00D26DF4">
        <w:rPr>
          <w:shd w:val="clear" w:color="auto" w:fill="FFFFFF"/>
        </w:rPr>
        <w:t xml:space="preserve"> discussão acerca do presente tema</w:t>
      </w:r>
      <w:r w:rsidR="00D26DF4" w:rsidRPr="00337573">
        <w:rPr>
          <w:shd w:val="clear" w:color="auto" w:fill="FFFFFF"/>
        </w:rPr>
        <w:t xml:space="preserve"> </w:t>
      </w:r>
      <w:r w:rsidR="00D26DF4">
        <w:rPr>
          <w:shd w:val="clear" w:color="auto" w:fill="FFFFFF"/>
        </w:rPr>
        <w:t>é impor</w:t>
      </w:r>
      <w:r w:rsidR="007570D5">
        <w:rPr>
          <w:shd w:val="clear" w:color="auto" w:fill="FFFFFF"/>
        </w:rPr>
        <w:t>tan</w:t>
      </w:r>
      <w:r w:rsidR="00D26DF4">
        <w:rPr>
          <w:shd w:val="clear" w:color="auto" w:fill="FFFFFF"/>
        </w:rPr>
        <w:t>te, principalmente para torn</w:t>
      </w:r>
      <w:r w:rsidR="007570D5">
        <w:rPr>
          <w:shd w:val="clear" w:color="auto" w:fill="FFFFFF"/>
        </w:rPr>
        <w:t>á</w:t>
      </w:r>
      <w:r w:rsidR="00D26DF4">
        <w:rPr>
          <w:shd w:val="clear" w:color="auto" w:fill="FFFFFF"/>
        </w:rPr>
        <w:t>-lo mais conhecido, evitando</w:t>
      </w:r>
      <w:r w:rsidR="007570D5">
        <w:rPr>
          <w:shd w:val="clear" w:color="auto" w:fill="FFFFFF"/>
        </w:rPr>
        <w:t>,</w:t>
      </w:r>
      <w:r w:rsidR="00D26DF4">
        <w:rPr>
          <w:shd w:val="clear" w:color="auto" w:fill="FFFFFF"/>
        </w:rPr>
        <w:t xml:space="preserve"> assim</w:t>
      </w:r>
      <w:r w:rsidR="007570D5">
        <w:rPr>
          <w:shd w:val="clear" w:color="auto" w:fill="FFFFFF"/>
        </w:rPr>
        <w:t>,</w:t>
      </w:r>
      <w:r w:rsidR="00D26DF4">
        <w:rPr>
          <w:shd w:val="clear" w:color="auto" w:fill="FFFFFF"/>
        </w:rPr>
        <w:t xml:space="preserve"> que a prática desses empréstimos não autorizados continue ocorrendo sem</w:t>
      </w:r>
      <w:r w:rsidR="003E3B29">
        <w:rPr>
          <w:shd w:val="clear" w:color="auto" w:fill="FFFFFF"/>
        </w:rPr>
        <w:t xml:space="preserve"> que a população em geral </w:t>
      </w:r>
      <w:r w:rsidR="00F40114">
        <w:rPr>
          <w:shd w:val="clear" w:color="auto" w:fill="FFFFFF"/>
        </w:rPr>
        <w:t>esteja ciente, pois o desconhecimento dá margem para a continuidade dos abusos.</w:t>
      </w:r>
    </w:p>
    <w:p w14:paraId="40868424" w14:textId="77777777" w:rsidR="00D26DF4" w:rsidRPr="00F40114" w:rsidRDefault="00D26DF4" w:rsidP="0019643C">
      <w:pPr>
        <w:pStyle w:val="NormalWeb"/>
        <w:shd w:val="clear" w:color="auto" w:fill="FFFFFF"/>
        <w:spacing w:before="0" w:beforeAutospacing="0" w:after="240" w:afterAutospacing="0" w:line="360" w:lineRule="auto"/>
        <w:ind w:firstLine="709"/>
        <w:jc w:val="both"/>
        <w:rPr>
          <w:color w:val="FF0000"/>
        </w:rPr>
      </w:pPr>
      <w:r>
        <w:rPr>
          <w:shd w:val="clear" w:color="auto" w:fill="FFFFFF"/>
        </w:rPr>
        <w:t xml:space="preserve">Uma vez que a grande maioria toma ciência do problema, fica mais fácil a percepção quando ocorre. Por exemplo, um idoso que assiste ao jornal e </w:t>
      </w:r>
      <w:r w:rsidR="00F40114">
        <w:rPr>
          <w:shd w:val="clear" w:color="auto" w:fill="FFFFFF"/>
        </w:rPr>
        <w:t xml:space="preserve">assiste a </w:t>
      </w:r>
      <w:r>
        <w:rPr>
          <w:shd w:val="clear" w:color="auto" w:fill="FFFFFF"/>
        </w:rPr>
        <w:t>uma matéria sobre essa prática ilegal, já começa a prestar mais atenção em seu benefício</w:t>
      </w:r>
      <w:r w:rsidR="00F40114">
        <w:rPr>
          <w:shd w:val="clear" w:color="auto" w:fill="FFFFFF"/>
        </w:rPr>
        <w:t>, possibilitando-o a agir rapidamente e, mais importante, a buscar seus direitos em organismos de proteção ao consumidor sempre que as instituições lhe neguem a facilidade para estornar o que tenha sido indevidamente debitado</w:t>
      </w:r>
      <w:r>
        <w:rPr>
          <w:shd w:val="clear" w:color="auto" w:fill="FFFFFF"/>
        </w:rPr>
        <w:t>.</w:t>
      </w:r>
      <w:r w:rsidR="00F40114">
        <w:rPr>
          <w:shd w:val="clear" w:color="auto" w:fill="FFFFFF"/>
        </w:rPr>
        <w:t xml:space="preserve"> </w:t>
      </w:r>
    </w:p>
    <w:p w14:paraId="03882835" w14:textId="77777777" w:rsidR="00D26DF4" w:rsidRDefault="00D26DF4" w:rsidP="0019643C">
      <w:pPr>
        <w:spacing w:line="360" w:lineRule="auto"/>
        <w:ind w:firstLine="709"/>
        <w:jc w:val="both"/>
        <w:rPr>
          <w:rFonts w:ascii="Times New Roman" w:hAnsi="Times New Roman" w:cs="Times New Roman"/>
        </w:rPr>
      </w:pPr>
    </w:p>
    <w:p w14:paraId="197B258A" w14:textId="77777777" w:rsidR="0024374F" w:rsidRDefault="0024374F" w:rsidP="001E1667">
      <w:pPr>
        <w:spacing w:line="360" w:lineRule="auto"/>
        <w:ind w:firstLine="709"/>
        <w:jc w:val="both"/>
        <w:rPr>
          <w:rFonts w:ascii="Times New Roman" w:hAnsi="Times New Roman" w:cs="Times New Roman"/>
          <w:b/>
        </w:rPr>
      </w:pPr>
      <w:r w:rsidRPr="00D26DF4">
        <w:rPr>
          <w:rFonts w:ascii="Times New Roman" w:hAnsi="Times New Roman" w:cs="Times New Roman"/>
          <w:b/>
        </w:rPr>
        <w:t>5. Considerações finais</w:t>
      </w:r>
    </w:p>
    <w:p w14:paraId="245BE006" w14:textId="77777777" w:rsidR="00D10023" w:rsidRDefault="005E7390" w:rsidP="004D7FAE">
      <w:pPr>
        <w:spacing w:line="360" w:lineRule="auto"/>
        <w:ind w:firstLine="709"/>
        <w:jc w:val="both"/>
        <w:rPr>
          <w:rFonts w:ascii="Times New Roman" w:hAnsi="Times New Roman" w:cs="Times New Roman"/>
        </w:rPr>
      </w:pPr>
      <w:r w:rsidRPr="00D10023">
        <w:rPr>
          <w:rFonts w:ascii="Times New Roman" w:hAnsi="Times New Roman" w:cs="Times New Roman"/>
        </w:rPr>
        <w:t>Diante de uma análise aprofundada da temática exposta,</w:t>
      </w:r>
      <w:r w:rsidR="00D10023">
        <w:rPr>
          <w:rFonts w:ascii="Times New Roman" w:hAnsi="Times New Roman" w:cs="Times New Roman"/>
        </w:rPr>
        <w:t xml:space="preserve"> pode-se concluir o reconhecimento da hipervulnerabilidade do consumidor idoso, e como eles são mais atingidos pelas práticas consumeristas abusivas. Desta forma, resta claro a necessidade de se assegurar uma igualdade </w:t>
      </w:r>
      <w:r w:rsidR="00B63ED6">
        <w:rPr>
          <w:rFonts w:ascii="Times New Roman" w:hAnsi="Times New Roman" w:cs="Times New Roman"/>
        </w:rPr>
        <w:t>jurídica a fim de mitigar</w:t>
      </w:r>
      <w:r w:rsidR="00D10023">
        <w:rPr>
          <w:rFonts w:ascii="Times New Roman" w:hAnsi="Times New Roman" w:cs="Times New Roman"/>
        </w:rPr>
        <w:t xml:space="preserve"> essa desigualdade em relação aos demais consumidores que já são por si só, considerados vulneráveis.</w:t>
      </w:r>
    </w:p>
    <w:p w14:paraId="73AE0531" w14:textId="77777777" w:rsidR="00B417AF" w:rsidRDefault="00B417AF" w:rsidP="004D7FAE">
      <w:pPr>
        <w:spacing w:line="360" w:lineRule="auto"/>
        <w:ind w:firstLine="709"/>
        <w:jc w:val="both"/>
        <w:rPr>
          <w:rFonts w:ascii="Times New Roman" w:hAnsi="Times New Roman" w:cs="Times New Roman"/>
        </w:rPr>
      </w:pPr>
      <w:r>
        <w:rPr>
          <w:rFonts w:ascii="Times New Roman" w:hAnsi="Times New Roman" w:cs="Times New Roman"/>
        </w:rPr>
        <w:t>Além disso, restou evidente que durante a pandemia a prática de empréstimos consignados sem a prévia autorização/solicitação desses consumidores cresceu de forma exagerada, em um momento ainda mais difícil de resolução, uma vez que os idosos eram o principal grupo de risco diante o COVID-19. Desta forma, além de serem lesados, não podiam sair de casa em busca de seus direitos.</w:t>
      </w:r>
    </w:p>
    <w:p w14:paraId="760A1FC9" w14:textId="77777777" w:rsidR="002D0C62" w:rsidRDefault="00B417AF" w:rsidP="002D0C62">
      <w:pPr>
        <w:spacing w:line="360" w:lineRule="auto"/>
        <w:ind w:firstLine="709"/>
        <w:jc w:val="both"/>
        <w:rPr>
          <w:rFonts w:ascii="Times New Roman" w:hAnsi="Times New Roman" w:cs="Times New Roman"/>
        </w:rPr>
      </w:pPr>
      <w:r>
        <w:rPr>
          <w:rFonts w:ascii="Times New Roman" w:hAnsi="Times New Roman" w:cs="Times New Roman"/>
        </w:rPr>
        <w:t xml:space="preserve">Por isso a importância das medidas tomadas pelos Órgãos </w:t>
      </w:r>
      <w:r w:rsidR="00A41CFF">
        <w:rPr>
          <w:rFonts w:ascii="Times New Roman" w:hAnsi="Times New Roman" w:cs="Times New Roman"/>
        </w:rPr>
        <w:t>de Proteção ao Consumidor, para coibir esses abusos, pois é necessário que as empresas entendam que os consumidores hipervulneráveis serão amparados. E que da mesma forma que visualizam os idosos</w:t>
      </w:r>
      <w:r w:rsidR="002D0C62">
        <w:rPr>
          <w:rFonts w:ascii="Times New Roman" w:hAnsi="Times New Roman" w:cs="Times New Roman"/>
        </w:rPr>
        <w:t xml:space="preserve"> de forma diferente, visando à obtenção de lucros, também se atentem para a sua responsabilidade social, e passem a não mais praticar condutas abusivas que atentem contra sua dignidade.</w:t>
      </w:r>
    </w:p>
    <w:p w14:paraId="7D724CF0" w14:textId="77777777" w:rsidR="002D0C62" w:rsidRDefault="002D0C62" w:rsidP="00B158DD">
      <w:pPr>
        <w:spacing w:line="360" w:lineRule="auto"/>
        <w:ind w:firstLine="709"/>
        <w:jc w:val="both"/>
        <w:rPr>
          <w:rFonts w:ascii="Times New Roman" w:hAnsi="Times New Roman" w:cs="Times New Roman"/>
        </w:rPr>
      </w:pPr>
      <w:r>
        <w:rPr>
          <w:rFonts w:ascii="Times New Roman" w:hAnsi="Times New Roman" w:cs="Times New Roman"/>
        </w:rPr>
        <w:t>Ademais, o Código de Defesa do Consumidor, o Estatuto do Idoso</w:t>
      </w:r>
      <w:r w:rsidR="00B158DD">
        <w:rPr>
          <w:rFonts w:ascii="Times New Roman" w:hAnsi="Times New Roman" w:cs="Times New Roman"/>
        </w:rPr>
        <w:t xml:space="preserve">, a Constituição Federal e a </w:t>
      </w:r>
      <w:r>
        <w:rPr>
          <w:rFonts w:ascii="Times New Roman" w:hAnsi="Times New Roman" w:cs="Times New Roman"/>
        </w:rPr>
        <w:t xml:space="preserve">Lei dos Empréstimos Consignados </w:t>
      </w:r>
      <w:r w:rsidR="00B158DD">
        <w:rPr>
          <w:rFonts w:ascii="Times New Roman" w:hAnsi="Times New Roman" w:cs="Times New Roman"/>
        </w:rPr>
        <w:t xml:space="preserve">devem ser utilizados de forma a buscar a solução que melhor atenda e proteja o consumidor idoso, </w:t>
      </w:r>
      <w:r w:rsidR="00B63ED6">
        <w:rPr>
          <w:rFonts w:ascii="Times New Roman" w:hAnsi="Times New Roman" w:cs="Times New Roman"/>
        </w:rPr>
        <w:t>na medida em que</w:t>
      </w:r>
      <w:r w:rsidR="00B158DD">
        <w:rPr>
          <w:rFonts w:ascii="Times New Roman" w:hAnsi="Times New Roman" w:cs="Times New Roman"/>
        </w:rPr>
        <w:t xml:space="preserve"> o Estado, na figura de seus três poderes deve ser responsável por medidas que </w:t>
      </w:r>
      <w:r w:rsidR="00B158DD">
        <w:rPr>
          <w:rFonts w:ascii="Times New Roman" w:hAnsi="Times New Roman" w:cs="Times New Roman"/>
        </w:rPr>
        <w:lastRenderedPageBreak/>
        <w:t>façam cessar qualquer ameaça ou lesão ao direito, bem como a punição dos fornecedores que atuarem de má-fé.</w:t>
      </w:r>
    </w:p>
    <w:p w14:paraId="24FE9B2F" w14:textId="77777777" w:rsidR="00B417AF" w:rsidRDefault="00B417AF" w:rsidP="004D7FAE">
      <w:pPr>
        <w:spacing w:line="360" w:lineRule="auto"/>
        <w:ind w:firstLine="709"/>
        <w:jc w:val="both"/>
        <w:rPr>
          <w:rFonts w:ascii="Times New Roman" w:hAnsi="Times New Roman" w:cs="Times New Roman"/>
        </w:rPr>
      </w:pPr>
    </w:p>
    <w:p w14:paraId="569427A0" w14:textId="77777777" w:rsidR="004D7FAE" w:rsidRDefault="004D7FAE" w:rsidP="004D7FAE">
      <w:pPr>
        <w:spacing w:line="360" w:lineRule="auto"/>
        <w:ind w:firstLine="709"/>
        <w:jc w:val="both"/>
        <w:rPr>
          <w:rFonts w:ascii="Times New Roman" w:hAnsi="Times New Roman" w:cs="Times New Roman"/>
          <w:b/>
        </w:rPr>
      </w:pPr>
      <w:r w:rsidRPr="004D7FAE">
        <w:rPr>
          <w:rFonts w:ascii="Times New Roman" w:hAnsi="Times New Roman" w:cs="Times New Roman"/>
          <w:b/>
        </w:rPr>
        <w:t>6. Referências bibliográficas</w:t>
      </w:r>
    </w:p>
    <w:p w14:paraId="0CC0FEE4" w14:textId="77777777" w:rsidR="00CB29E9" w:rsidRPr="004D7FAE" w:rsidRDefault="00CB29E9" w:rsidP="004D7FAE">
      <w:pPr>
        <w:spacing w:line="360" w:lineRule="auto"/>
        <w:ind w:firstLine="709"/>
        <w:jc w:val="both"/>
        <w:rPr>
          <w:rFonts w:ascii="Times New Roman" w:hAnsi="Times New Roman" w:cs="Times New Roman"/>
          <w:b/>
        </w:rPr>
      </w:pPr>
    </w:p>
    <w:p w14:paraId="62FF3B88" w14:textId="77777777" w:rsidR="004539B2" w:rsidRDefault="004539B2" w:rsidP="004539B2">
      <w:pPr>
        <w:pStyle w:val="Corpodetexto3"/>
        <w:spacing w:after="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BASSO, Martina. A hipervulnerabilidade dos idosos nas relações de consumo: análise do empréstimo consignado e pessoal e o superendividamento. Disponível em: &lt;</w:t>
      </w:r>
      <w:hyperlink r:id="rId12" w:history="1">
        <w:r w:rsidRPr="001269B5">
          <w:rPr>
            <w:rStyle w:val="Hyperlink"/>
            <w:rFonts w:ascii="Times New Roman" w:hAnsi="Times New Roman" w:cs="Times New Roman"/>
            <w:sz w:val="24"/>
            <w:szCs w:val="24"/>
            <w:shd w:val="clear" w:color="auto" w:fill="FFFFFF"/>
          </w:rPr>
          <w:t>https://bibliodigital.unijui.edu.br:8443/xmlui/bitstream/handle/123456789/6838/MARTINA%20BESCHORNER%20BASSO.pdf?sequence=1&amp;isAllowed=y</w:t>
        </w:r>
      </w:hyperlink>
      <w:r>
        <w:rPr>
          <w:rFonts w:ascii="Times New Roman" w:hAnsi="Times New Roman" w:cs="Times New Roman"/>
          <w:sz w:val="24"/>
          <w:szCs w:val="24"/>
          <w:shd w:val="clear" w:color="auto" w:fill="FFFFFF"/>
        </w:rPr>
        <w:t>&gt;. Acesso em 5 maio 2021.</w:t>
      </w:r>
    </w:p>
    <w:p w14:paraId="749BADEA" w14:textId="77777777" w:rsidR="004539B2" w:rsidRDefault="004539B2" w:rsidP="004539B2">
      <w:pPr>
        <w:pStyle w:val="Corpodetexto3"/>
        <w:spacing w:after="0"/>
        <w:rPr>
          <w:rFonts w:ascii="Times New Roman" w:hAnsi="Times New Roman" w:cs="Times New Roman"/>
          <w:sz w:val="24"/>
          <w:szCs w:val="24"/>
          <w:shd w:val="clear" w:color="auto" w:fill="FFFFFF"/>
        </w:rPr>
      </w:pPr>
    </w:p>
    <w:p w14:paraId="136BDE3A" w14:textId="77777777" w:rsidR="004539B2" w:rsidRPr="001F5C4C" w:rsidRDefault="004539B2" w:rsidP="004539B2">
      <w:pPr>
        <w:pStyle w:val="Corpodetexto3"/>
        <w:spacing w:after="0"/>
        <w:rPr>
          <w:rFonts w:ascii="Times New Roman" w:hAnsi="Times New Roman" w:cs="Times New Roman"/>
          <w:sz w:val="24"/>
          <w:szCs w:val="24"/>
          <w:shd w:val="clear" w:color="auto" w:fill="FFFFFF"/>
        </w:rPr>
      </w:pPr>
      <w:r w:rsidRPr="001F5C4C">
        <w:rPr>
          <w:rFonts w:ascii="Times New Roman" w:hAnsi="Times New Roman" w:cs="Times New Roman"/>
          <w:sz w:val="24"/>
          <w:szCs w:val="24"/>
          <w:shd w:val="clear" w:color="auto" w:fill="FFFFFF"/>
        </w:rPr>
        <w:t>______. </w:t>
      </w:r>
      <w:r w:rsidRPr="001F5C4C">
        <w:rPr>
          <w:rFonts w:ascii="Times New Roman" w:hAnsi="Times New Roman" w:cs="Times New Roman"/>
          <w:b/>
          <w:bCs/>
          <w:sz w:val="24"/>
          <w:szCs w:val="24"/>
          <w:shd w:val="clear" w:color="auto" w:fill="FFFFFF"/>
        </w:rPr>
        <w:t>Código de Defesa do Consumidor</w:t>
      </w:r>
      <w:r w:rsidRPr="001F5C4C">
        <w:rPr>
          <w:rFonts w:ascii="Times New Roman" w:hAnsi="Times New Roman" w:cs="Times New Roman"/>
          <w:sz w:val="24"/>
          <w:szCs w:val="24"/>
          <w:shd w:val="clear" w:color="auto" w:fill="FFFFFF"/>
        </w:rPr>
        <w:t>. Decreto Presidencial nº 2.181, de 20 de março de 1997, Brasília, DF, 1997</w:t>
      </w:r>
    </w:p>
    <w:p w14:paraId="2C39000F" w14:textId="77777777" w:rsidR="004539B2" w:rsidRPr="001F5C4C" w:rsidRDefault="004539B2" w:rsidP="004539B2">
      <w:pPr>
        <w:pStyle w:val="Corpodetexto3"/>
        <w:tabs>
          <w:tab w:val="left" w:pos="2475"/>
        </w:tabs>
        <w:spacing w:after="0"/>
        <w:rPr>
          <w:rFonts w:ascii="Times New Roman" w:hAnsi="Times New Roman" w:cs="Times New Roman"/>
          <w:sz w:val="24"/>
          <w:szCs w:val="24"/>
        </w:rPr>
      </w:pPr>
      <w:r w:rsidRPr="001F5C4C">
        <w:rPr>
          <w:rFonts w:ascii="Times New Roman" w:hAnsi="Times New Roman" w:cs="Times New Roman"/>
          <w:sz w:val="24"/>
          <w:szCs w:val="24"/>
        </w:rPr>
        <w:tab/>
      </w:r>
    </w:p>
    <w:p w14:paraId="21C400A4" w14:textId="77777777" w:rsidR="004539B2" w:rsidRPr="001F5C4C" w:rsidRDefault="004539B2" w:rsidP="004539B2">
      <w:pPr>
        <w:pStyle w:val="Corpodetexto3"/>
        <w:spacing w:after="0"/>
        <w:rPr>
          <w:rFonts w:ascii="Times New Roman" w:hAnsi="Times New Roman" w:cs="Times New Roman"/>
          <w:sz w:val="24"/>
          <w:szCs w:val="24"/>
        </w:rPr>
      </w:pPr>
      <w:r w:rsidRPr="001F5C4C">
        <w:rPr>
          <w:rFonts w:ascii="Times New Roman" w:hAnsi="Times New Roman" w:cs="Times New Roman"/>
          <w:sz w:val="24"/>
          <w:szCs w:val="24"/>
        </w:rPr>
        <w:t xml:space="preserve">MINAS GERAIS. 25ª Vara Cível da Comarca de Belo Horizonte. Processo nº 55155846-15.2020.8.13.0024. Ação cível coletiva. Empréstimo consignado. Instituto de Defesa Coletiva e outros versus Banco </w:t>
      </w:r>
      <w:proofErr w:type="spellStart"/>
      <w:r w:rsidRPr="001F5C4C">
        <w:rPr>
          <w:rFonts w:ascii="Times New Roman" w:hAnsi="Times New Roman" w:cs="Times New Roman"/>
          <w:sz w:val="24"/>
          <w:szCs w:val="24"/>
        </w:rPr>
        <w:t>Ficsa</w:t>
      </w:r>
      <w:proofErr w:type="spellEnd"/>
      <w:r w:rsidRPr="001F5C4C">
        <w:rPr>
          <w:rFonts w:ascii="Times New Roman" w:hAnsi="Times New Roman" w:cs="Times New Roman"/>
          <w:sz w:val="24"/>
          <w:szCs w:val="24"/>
        </w:rPr>
        <w:t xml:space="preserve"> S/A. Relator: Eduardo Veloso Lago. Belo Horizonte. 18 de novembro de 2020. Disponível em: &lt;</w:t>
      </w:r>
      <w:hyperlink r:id="rId13" w:history="1">
        <w:r w:rsidRPr="001F5C4C">
          <w:rPr>
            <w:rStyle w:val="Hyperlink"/>
            <w:rFonts w:ascii="Times New Roman" w:hAnsi="Times New Roman" w:cs="Times New Roman"/>
            <w:sz w:val="24"/>
            <w:szCs w:val="24"/>
          </w:rPr>
          <w:t>https://pje.tjmg.jus.br/pje/ConsultaPublica/DetalheProcessoConsultaPublica/documentoSemLoginHTML.seam?ca=981cf9be766f376e5e11a492c2cd0622e354b0bca6bf6380a29c7c5a5533cc59224b1b5d703ee121f4b4824b6d65dc7a3a1c0d06da0e4963&amp;idProcessoDoc=1425334904</w:t>
        </w:r>
      </w:hyperlink>
      <w:r w:rsidRPr="001F5C4C">
        <w:rPr>
          <w:rFonts w:ascii="Times New Roman" w:hAnsi="Times New Roman" w:cs="Times New Roman"/>
          <w:sz w:val="24"/>
          <w:szCs w:val="24"/>
        </w:rPr>
        <w:t>&gt;. Acesso em: 7 junho 2021.</w:t>
      </w:r>
    </w:p>
    <w:p w14:paraId="7759481A" w14:textId="77777777" w:rsidR="004539B2" w:rsidRPr="001F5C4C" w:rsidRDefault="004539B2" w:rsidP="004539B2">
      <w:pPr>
        <w:pStyle w:val="Corpodetexto3"/>
        <w:spacing w:after="0"/>
        <w:rPr>
          <w:rFonts w:ascii="Times New Roman" w:hAnsi="Times New Roman" w:cs="Times New Roman"/>
          <w:sz w:val="24"/>
          <w:szCs w:val="24"/>
        </w:rPr>
      </w:pPr>
    </w:p>
    <w:p w14:paraId="372FF3F3" w14:textId="77777777" w:rsidR="004539B2" w:rsidRPr="001F5C4C" w:rsidRDefault="004539B2" w:rsidP="004539B2">
      <w:pPr>
        <w:pStyle w:val="Corpodetexto3"/>
        <w:spacing w:after="0"/>
        <w:rPr>
          <w:rFonts w:ascii="Times New Roman" w:hAnsi="Times New Roman" w:cs="Times New Roman"/>
          <w:sz w:val="24"/>
          <w:szCs w:val="24"/>
        </w:rPr>
      </w:pPr>
      <w:r w:rsidRPr="001F5C4C">
        <w:rPr>
          <w:rFonts w:ascii="Times New Roman" w:hAnsi="Times New Roman" w:cs="Times New Roman"/>
          <w:sz w:val="24"/>
          <w:szCs w:val="24"/>
        </w:rPr>
        <w:t>PROCON – SP. Procon-SP envia ofício ao INSS. 22 de dezembro de 2020. Disponível em: &lt;</w:t>
      </w:r>
      <w:hyperlink r:id="rId14" w:history="1">
        <w:r w:rsidRPr="001F5C4C">
          <w:rPr>
            <w:rStyle w:val="Hyperlink"/>
            <w:rFonts w:ascii="Times New Roman" w:hAnsi="Times New Roman" w:cs="Times New Roman"/>
            <w:sz w:val="24"/>
            <w:szCs w:val="24"/>
          </w:rPr>
          <w:t>https://www.procon.sp.gov.br/procon-sp-envia-oficio-ao-inss/</w:t>
        </w:r>
      </w:hyperlink>
      <w:r w:rsidRPr="001F5C4C">
        <w:rPr>
          <w:rFonts w:ascii="Times New Roman" w:hAnsi="Times New Roman" w:cs="Times New Roman"/>
          <w:sz w:val="24"/>
          <w:szCs w:val="24"/>
        </w:rPr>
        <w:t>&gt;. Acesso em: 7 maio 2021.</w:t>
      </w:r>
    </w:p>
    <w:p w14:paraId="45AE7756" w14:textId="77777777" w:rsidR="004539B2" w:rsidRPr="001F5C4C" w:rsidRDefault="004539B2" w:rsidP="004539B2">
      <w:pPr>
        <w:pStyle w:val="Corpodetexto3"/>
        <w:spacing w:after="0"/>
        <w:rPr>
          <w:rFonts w:ascii="Times New Roman" w:hAnsi="Times New Roman" w:cs="Times New Roman"/>
          <w:sz w:val="24"/>
          <w:szCs w:val="24"/>
        </w:rPr>
      </w:pPr>
    </w:p>
    <w:p w14:paraId="5124F1B6" w14:textId="77777777" w:rsidR="004539B2" w:rsidRPr="001F5C4C" w:rsidRDefault="004539B2" w:rsidP="004539B2">
      <w:pPr>
        <w:pStyle w:val="Corpodetexto3"/>
        <w:spacing w:after="0"/>
        <w:rPr>
          <w:rFonts w:ascii="Times New Roman" w:hAnsi="Times New Roman" w:cs="Times New Roman"/>
          <w:sz w:val="24"/>
          <w:szCs w:val="24"/>
        </w:rPr>
      </w:pPr>
      <w:r w:rsidRPr="001F5C4C">
        <w:rPr>
          <w:rFonts w:ascii="Times New Roman" w:hAnsi="Times New Roman" w:cs="Times New Roman"/>
          <w:sz w:val="24"/>
          <w:szCs w:val="24"/>
        </w:rPr>
        <w:t xml:space="preserve">TADDEI, Anna e Queiroz, </w:t>
      </w:r>
      <w:proofErr w:type="spellStart"/>
      <w:r w:rsidRPr="001F5C4C">
        <w:rPr>
          <w:rFonts w:ascii="Times New Roman" w:hAnsi="Times New Roman" w:cs="Times New Roman"/>
          <w:sz w:val="24"/>
          <w:szCs w:val="24"/>
        </w:rPr>
        <w:t>Sheyla</w:t>
      </w:r>
      <w:proofErr w:type="spellEnd"/>
      <w:r w:rsidRPr="001F5C4C">
        <w:rPr>
          <w:rFonts w:ascii="Times New Roman" w:hAnsi="Times New Roman" w:cs="Times New Roman"/>
          <w:sz w:val="24"/>
          <w:szCs w:val="24"/>
        </w:rPr>
        <w:t>. Os contratos de empréstimo pessoal e o direito do consumidor. Disponível em:</w:t>
      </w:r>
      <w:r w:rsidRPr="001F5C4C">
        <w:rPr>
          <w:sz w:val="24"/>
          <w:szCs w:val="24"/>
        </w:rPr>
        <w:t xml:space="preserve"> &lt;</w:t>
      </w:r>
      <w:r w:rsidRPr="001F5C4C">
        <w:rPr>
          <w:rFonts w:ascii="Times New Roman" w:hAnsi="Times New Roman" w:cs="Times New Roman"/>
          <w:sz w:val="24"/>
          <w:szCs w:val="24"/>
        </w:rPr>
        <w:t>http://www.publicadireito.com.br/artigos/?cod=781bb09f7e59ced9&gt;. Acesso em: 5 maio de 2021.</w:t>
      </w:r>
    </w:p>
    <w:p w14:paraId="1159BA4C" w14:textId="77777777" w:rsidR="004539B2" w:rsidRPr="001F5C4C" w:rsidRDefault="004539B2" w:rsidP="004539B2">
      <w:pPr>
        <w:pStyle w:val="Corpodetexto3"/>
        <w:spacing w:after="0"/>
        <w:rPr>
          <w:rFonts w:ascii="Times New Roman" w:hAnsi="Times New Roman" w:cs="Times New Roman"/>
          <w:sz w:val="24"/>
          <w:szCs w:val="24"/>
        </w:rPr>
      </w:pPr>
    </w:p>
    <w:p w14:paraId="3A4CADA8" w14:textId="77777777" w:rsidR="00CB29E9" w:rsidRPr="00CB29E9" w:rsidRDefault="00CB29E9" w:rsidP="00CB29E9">
      <w:pPr>
        <w:pStyle w:val="Textodenotaderodap"/>
        <w:jc w:val="both"/>
        <w:rPr>
          <w:rFonts w:ascii="Times New Roman" w:hAnsi="Times New Roman" w:cs="Times New Roman"/>
          <w:sz w:val="24"/>
          <w:szCs w:val="24"/>
        </w:rPr>
      </w:pPr>
      <w:r w:rsidRPr="00CB29E9">
        <w:rPr>
          <w:rFonts w:ascii="Times New Roman" w:hAnsi="Times New Roman" w:cs="Times New Roman"/>
          <w:sz w:val="24"/>
          <w:szCs w:val="24"/>
        </w:rPr>
        <w:t>ALMEIDA, João Batista. A Proteção Jurídica ao Consumidor. São Paulo: Saraiva, 1993, p.15</w:t>
      </w:r>
    </w:p>
    <w:p w14:paraId="2AAEDAC7" w14:textId="77777777" w:rsidR="00CB29E9" w:rsidRPr="00CB29E9" w:rsidRDefault="00CB29E9" w:rsidP="00CB29E9">
      <w:pPr>
        <w:pStyle w:val="Textodenotaderodap"/>
        <w:jc w:val="both"/>
        <w:rPr>
          <w:rFonts w:ascii="Times New Roman" w:hAnsi="Times New Roman" w:cs="Times New Roman"/>
          <w:sz w:val="24"/>
          <w:szCs w:val="24"/>
        </w:rPr>
      </w:pPr>
    </w:p>
    <w:p w14:paraId="110BC87B" w14:textId="77777777" w:rsidR="00CB29E9" w:rsidRPr="00CB29E9" w:rsidRDefault="00CB29E9" w:rsidP="00CB29E9">
      <w:pPr>
        <w:pStyle w:val="Textodenotaderodap"/>
        <w:jc w:val="both"/>
        <w:rPr>
          <w:rFonts w:ascii="Times New Roman" w:hAnsi="Times New Roman" w:cs="Times New Roman"/>
          <w:sz w:val="24"/>
          <w:szCs w:val="24"/>
        </w:rPr>
      </w:pPr>
      <w:r w:rsidRPr="00CB29E9">
        <w:rPr>
          <w:rFonts w:ascii="Times New Roman" w:hAnsi="Times New Roman" w:cs="Times New Roman"/>
          <w:sz w:val="24"/>
          <w:szCs w:val="24"/>
        </w:rPr>
        <w:t xml:space="preserve">MORAES, Paulo Valério </w:t>
      </w:r>
      <w:proofErr w:type="spellStart"/>
      <w:r w:rsidRPr="00CB29E9">
        <w:rPr>
          <w:rFonts w:ascii="Times New Roman" w:hAnsi="Times New Roman" w:cs="Times New Roman"/>
          <w:sz w:val="24"/>
          <w:szCs w:val="24"/>
        </w:rPr>
        <w:t>dal</w:t>
      </w:r>
      <w:proofErr w:type="spellEnd"/>
      <w:r w:rsidRPr="00CB29E9">
        <w:rPr>
          <w:rFonts w:ascii="Times New Roman" w:hAnsi="Times New Roman" w:cs="Times New Roman"/>
          <w:sz w:val="24"/>
          <w:szCs w:val="24"/>
        </w:rPr>
        <w:t xml:space="preserve"> Pai Moraes. Código de Defesa do Consumidor: o princípio da vulnerabilidade no contrato, na publicidade e nas demais práticas comerciais: interpretação sistemática do direito Porto Alegre: Livraria do Advogado, 2009, p.125</w:t>
      </w:r>
    </w:p>
    <w:p w14:paraId="0C16D567" w14:textId="77777777" w:rsidR="00CB29E9" w:rsidRPr="00CB29E9" w:rsidRDefault="00CB29E9" w:rsidP="00CB29E9">
      <w:pPr>
        <w:pStyle w:val="Textodenotaderodap"/>
        <w:jc w:val="both"/>
        <w:rPr>
          <w:rFonts w:ascii="Times New Roman" w:hAnsi="Times New Roman" w:cs="Times New Roman"/>
          <w:sz w:val="24"/>
          <w:szCs w:val="24"/>
        </w:rPr>
      </w:pPr>
    </w:p>
    <w:p w14:paraId="6305852A" w14:textId="77777777" w:rsidR="00CB29E9" w:rsidRPr="00CB29E9" w:rsidRDefault="00CB29E9" w:rsidP="00CB29E9">
      <w:pPr>
        <w:pStyle w:val="Textodenotaderodap"/>
        <w:jc w:val="both"/>
        <w:rPr>
          <w:rFonts w:ascii="Times New Roman" w:hAnsi="Times New Roman" w:cs="Times New Roman"/>
          <w:sz w:val="24"/>
          <w:szCs w:val="24"/>
        </w:rPr>
      </w:pPr>
      <w:r w:rsidRPr="00CB29E9">
        <w:rPr>
          <w:rFonts w:ascii="Times New Roman" w:hAnsi="Times New Roman" w:cs="Times New Roman"/>
          <w:sz w:val="24"/>
          <w:szCs w:val="24"/>
        </w:rPr>
        <w:t xml:space="preserve">RAGAZZI, José Luiz. Intervenção de terceiros e o Código de defesa do consumidor. 2. ed. São Paulo. Editora </w:t>
      </w:r>
      <w:proofErr w:type="spellStart"/>
      <w:r w:rsidRPr="00CB29E9">
        <w:rPr>
          <w:rFonts w:ascii="Times New Roman" w:hAnsi="Times New Roman" w:cs="Times New Roman"/>
          <w:sz w:val="24"/>
          <w:szCs w:val="24"/>
        </w:rPr>
        <w:t>Verbatim</w:t>
      </w:r>
      <w:proofErr w:type="spellEnd"/>
      <w:r w:rsidRPr="00CB29E9">
        <w:rPr>
          <w:rFonts w:ascii="Times New Roman" w:hAnsi="Times New Roman" w:cs="Times New Roman"/>
          <w:sz w:val="24"/>
          <w:szCs w:val="24"/>
        </w:rPr>
        <w:t>, 2010, p.151</w:t>
      </w:r>
    </w:p>
    <w:p w14:paraId="65D297AA" w14:textId="77777777" w:rsidR="00CB29E9" w:rsidRPr="00CB29E9" w:rsidRDefault="00CB29E9" w:rsidP="00CB29E9">
      <w:pPr>
        <w:pStyle w:val="Textodenotaderodap"/>
        <w:jc w:val="both"/>
        <w:rPr>
          <w:rFonts w:ascii="Times New Roman" w:hAnsi="Times New Roman" w:cs="Times New Roman"/>
          <w:sz w:val="24"/>
          <w:szCs w:val="24"/>
        </w:rPr>
      </w:pPr>
    </w:p>
    <w:p w14:paraId="5B1134D1" w14:textId="77777777" w:rsidR="00CB29E9" w:rsidRPr="00CB29E9" w:rsidRDefault="00CB29E9" w:rsidP="00CB29E9">
      <w:pPr>
        <w:pStyle w:val="Corpodetexto3"/>
        <w:spacing w:after="0"/>
        <w:jc w:val="both"/>
        <w:rPr>
          <w:rFonts w:ascii="Times New Roman" w:hAnsi="Times New Roman" w:cs="Times New Roman"/>
          <w:sz w:val="24"/>
          <w:szCs w:val="24"/>
        </w:rPr>
      </w:pPr>
      <w:r w:rsidRPr="00CB29E9">
        <w:rPr>
          <w:rFonts w:ascii="Times New Roman" w:hAnsi="Times New Roman" w:cs="Times New Roman"/>
          <w:sz w:val="24"/>
          <w:szCs w:val="24"/>
        </w:rPr>
        <w:t>Henry Ford, apud RÓNAI, Paulo. Dicionário Universal Nova Fronteira de Citações. Rio de Janeiro: Nova Fronteira, 1985.</w:t>
      </w:r>
    </w:p>
    <w:p w14:paraId="3E240A85" w14:textId="77777777" w:rsidR="00D86939" w:rsidRDefault="00D86939" w:rsidP="001E1667">
      <w:pPr>
        <w:spacing w:line="360" w:lineRule="auto"/>
        <w:ind w:firstLine="709"/>
        <w:jc w:val="both"/>
        <w:rPr>
          <w:rFonts w:ascii="Times New Roman" w:hAnsi="Times New Roman" w:cs="Times New Roman"/>
        </w:rPr>
      </w:pPr>
    </w:p>
    <w:p w14:paraId="07B46CEE" w14:textId="77777777" w:rsidR="00CB29E9" w:rsidRPr="00D86939" w:rsidRDefault="00CB29E9" w:rsidP="001E1667">
      <w:pPr>
        <w:spacing w:line="360" w:lineRule="auto"/>
        <w:ind w:firstLine="709"/>
        <w:jc w:val="both"/>
        <w:rPr>
          <w:rFonts w:ascii="Times New Roman" w:hAnsi="Times New Roman" w:cs="Times New Roman"/>
        </w:rPr>
      </w:pPr>
    </w:p>
    <w:sectPr w:rsidR="00CB29E9" w:rsidRPr="00D86939" w:rsidSect="000058AD">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8EF89F" w14:textId="77777777" w:rsidR="0045079F" w:rsidRDefault="0045079F" w:rsidP="00AC1D83">
      <w:r>
        <w:separator/>
      </w:r>
    </w:p>
  </w:endnote>
  <w:endnote w:type="continuationSeparator" w:id="0">
    <w:p w14:paraId="19887393" w14:textId="77777777" w:rsidR="0045079F" w:rsidRDefault="0045079F" w:rsidP="00AC1D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9267C" w14:textId="77777777" w:rsidR="0045079F" w:rsidRDefault="0045079F" w:rsidP="00AC1D83">
      <w:r>
        <w:separator/>
      </w:r>
    </w:p>
  </w:footnote>
  <w:footnote w:type="continuationSeparator" w:id="0">
    <w:p w14:paraId="35806808" w14:textId="77777777" w:rsidR="0045079F" w:rsidRDefault="0045079F" w:rsidP="00AC1D83">
      <w:r>
        <w:continuationSeparator/>
      </w:r>
    </w:p>
  </w:footnote>
  <w:footnote w:id="1">
    <w:p w14:paraId="55B0A728" w14:textId="77777777" w:rsidR="00AC1D83" w:rsidRDefault="00AC1D83">
      <w:pPr>
        <w:pStyle w:val="Textodenotaderodap"/>
      </w:pPr>
      <w:r>
        <w:rPr>
          <w:rStyle w:val="Refdenotaderodap"/>
        </w:rPr>
        <w:footnoteRef/>
      </w:r>
      <w:r>
        <w:t xml:space="preserve"> Acadêmica do 10º período do Curso de Direito da UNIUBE. </w:t>
      </w:r>
      <w:hyperlink r:id="rId1" w:history="1">
        <w:r w:rsidRPr="00643488">
          <w:rPr>
            <w:rStyle w:val="Hyperlink"/>
          </w:rPr>
          <w:t>gabriellasucupira@gmail.com</w:t>
        </w:r>
      </w:hyperlink>
    </w:p>
  </w:footnote>
  <w:footnote w:id="2">
    <w:p w14:paraId="75097B80" w14:textId="77777777" w:rsidR="00AC1D83" w:rsidRDefault="00AC1D83">
      <w:pPr>
        <w:pStyle w:val="Textodenotaderodap"/>
      </w:pPr>
      <w:r>
        <w:rPr>
          <w:rStyle w:val="Refdenotaderodap"/>
        </w:rPr>
        <w:footnoteRef/>
      </w:r>
      <w:r>
        <w:t xml:space="preserve"> Professora orientadora. Doutora em Direito. </w:t>
      </w:r>
      <w:hyperlink r:id="rId2" w:history="1">
        <w:r w:rsidRPr="00643488">
          <w:rPr>
            <w:rStyle w:val="Hyperlink"/>
          </w:rPr>
          <w:t>andrea.fabri@uniube.br</w:t>
        </w:r>
      </w:hyperlink>
    </w:p>
    <w:p w14:paraId="07D3D2C4" w14:textId="77777777" w:rsidR="00AC1D83" w:rsidRDefault="00AC1D83">
      <w:pPr>
        <w:pStyle w:val="Textodenotaderodap"/>
      </w:pPr>
    </w:p>
  </w:footnote>
  <w:footnote w:id="3">
    <w:p w14:paraId="64496704" w14:textId="77777777" w:rsidR="00FF2FED" w:rsidRPr="00FF2FED" w:rsidRDefault="00FF2FED" w:rsidP="00FF2FED">
      <w:pPr>
        <w:pStyle w:val="SemEspaamento"/>
        <w:rPr>
          <w:rFonts w:ascii="Times New Roman" w:hAnsi="Times New Roman" w:cs="Times New Roman"/>
          <w:sz w:val="22"/>
        </w:rPr>
      </w:pPr>
      <w:r>
        <w:rPr>
          <w:rStyle w:val="Refdenotaderodap"/>
        </w:rPr>
        <w:footnoteRef/>
      </w:r>
      <w:r>
        <w:t xml:space="preserve"> </w:t>
      </w:r>
      <w:r w:rsidRPr="00FF2FED">
        <w:rPr>
          <w:rFonts w:ascii="Times New Roman" w:hAnsi="Times New Roman" w:cs="Times New Roman"/>
          <w:sz w:val="20"/>
          <w:szCs w:val="20"/>
        </w:rPr>
        <w:t>Defensoria Pública do estado do Rio de Janeiro. PERFIL DO CONSUMIDOR SUPERENDIVIDADO E A ATUAÇÃO DA DEFENSORIA PÚBLICA NA RENEGOCIAÇÃO DA DÍVIDA. Disponível em: &lt;https://apublica.org/wp-content/uploads/2020/05/b7ca8cbd43c24d7f8aa11fce8483026e.pdf&gt;</w:t>
      </w:r>
    </w:p>
    <w:p w14:paraId="6F01FF09" w14:textId="77777777" w:rsidR="00FF2FED" w:rsidRDefault="00FF2FED">
      <w:pPr>
        <w:pStyle w:val="Textodenotaderodap"/>
      </w:pPr>
    </w:p>
  </w:footnote>
  <w:footnote w:id="4">
    <w:p w14:paraId="3AA1DC67" w14:textId="77777777" w:rsidR="00464B42" w:rsidRPr="001F5C4C" w:rsidRDefault="00464B42" w:rsidP="00464B42">
      <w:pPr>
        <w:pStyle w:val="Corpodetexto3"/>
        <w:spacing w:after="0"/>
        <w:rPr>
          <w:rFonts w:ascii="Times New Roman" w:hAnsi="Times New Roman" w:cs="Times New Roman"/>
          <w:sz w:val="24"/>
          <w:szCs w:val="24"/>
        </w:rPr>
      </w:pPr>
      <w:r>
        <w:rPr>
          <w:rStyle w:val="Refdenotaderodap"/>
        </w:rPr>
        <w:footnoteRef/>
      </w:r>
      <w:r>
        <w:t xml:space="preserve"> </w:t>
      </w:r>
      <w:r w:rsidRPr="00A71B44">
        <w:rPr>
          <w:rFonts w:ascii="Times New Roman" w:hAnsi="Times New Roman" w:cs="Times New Roman"/>
          <w:sz w:val="20"/>
          <w:szCs w:val="20"/>
        </w:rPr>
        <w:t>PROCON – SP. Procon-SP envia ofício ao INSS. 22 de dezembro de 2020. Disponível em: &lt;</w:t>
      </w:r>
      <w:hyperlink r:id="rId3" w:history="1">
        <w:r w:rsidRPr="00A71B44">
          <w:rPr>
            <w:rStyle w:val="Hyperlink"/>
            <w:rFonts w:ascii="Times New Roman" w:hAnsi="Times New Roman" w:cs="Times New Roman"/>
            <w:sz w:val="20"/>
            <w:szCs w:val="20"/>
          </w:rPr>
          <w:t>https://www.procon.sp.gov.br/procon-sp-envia-oficio-ao-inss/</w:t>
        </w:r>
      </w:hyperlink>
      <w:r w:rsidRPr="00A71B44">
        <w:rPr>
          <w:rFonts w:ascii="Times New Roman" w:hAnsi="Times New Roman" w:cs="Times New Roman"/>
          <w:sz w:val="20"/>
          <w:szCs w:val="20"/>
        </w:rPr>
        <w:t xml:space="preserve">&gt;. Acesso em: </w:t>
      </w:r>
      <w:r>
        <w:rPr>
          <w:rFonts w:ascii="Times New Roman" w:hAnsi="Times New Roman" w:cs="Times New Roman"/>
          <w:sz w:val="20"/>
          <w:szCs w:val="20"/>
        </w:rPr>
        <w:t>0</w:t>
      </w:r>
      <w:r w:rsidRPr="00A71B44">
        <w:rPr>
          <w:rFonts w:ascii="Times New Roman" w:hAnsi="Times New Roman" w:cs="Times New Roman"/>
          <w:sz w:val="20"/>
          <w:szCs w:val="20"/>
        </w:rPr>
        <w:t>7</w:t>
      </w:r>
      <w:r>
        <w:rPr>
          <w:rFonts w:ascii="Times New Roman" w:hAnsi="Times New Roman" w:cs="Times New Roman"/>
          <w:sz w:val="20"/>
          <w:szCs w:val="20"/>
        </w:rPr>
        <w:t xml:space="preserve">de </w:t>
      </w:r>
      <w:r w:rsidRPr="00A71B44">
        <w:rPr>
          <w:rFonts w:ascii="Times New Roman" w:hAnsi="Times New Roman" w:cs="Times New Roman"/>
          <w:sz w:val="20"/>
          <w:szCs w:val="20"/>
        </w:rPr>
        <w:t>maio 2021.</w:t>
      </w:r>
    </w:p>
    <w:p w14:paraId="6E91370E" w14:textId="77777777" w:rsidR="00464B42" w:rsidRDefault="00464B42" w:rsidP="00464B42">
      <w:pPr>
        <w:pStyle w:val="Textodenotaderodap"/>
      </w:pPr>
    </w:p>
  </w:footnote>
  <w:footnote w:id="5">
    <w:p w14:paraId="53F9F38B" w14:textId="77777777" w:rsidR="006448AC" w:rsidRPr="006448AC" w:rsidRDefault="006448AC" w:rsidP="006448AC">
      <w:pPr>
        <w:pStyle w:val="SemEspaamento"/>
        <w:rPr>
          <w:rFonts w:ascii="Times New Roman" w:hAnsi="Times New Roman" w:cs="Times New Roman"/>
          <w:sz w:val="22"/>
        </w:rPr>
      </w:pPr>
      <w:r>
        <w:rPr>
          <w:rStyle w:val="Refdenotaderodap"/>
        </w:rPr>
        <w:footnoteRef/>
      </w:r>
      <w:r>
        <w:t xml:space="preserve"> </w:t>
      </w:r>
      <w:r w:rsidRPr="00FF2FED">
        <w:rPr>
          <w:rFonts w:ascii="Times New Roman" w:hAnsi="Times New Roman" w:cs="Times New Roman"/>
          <w:sz w:val="20"/>
          <w:szCs w:val="20"/>
        </w:rPr>
        <w:t>Porta Voz nº 1962 - Uberaba, 09 de Junho de 2021. Disponível em: &lt;http://www.uberaba.mg.gov.br:8080/portal/acervo/portavoz/arquivos/2021/1962%20-%2009-06-2021.pdf&gt;</w:t>
      </w:r>
    </w:p>
    <w:p w14:paraId="37010539" w14:textId="77777777" w:rsidR="006448AC" w:rsidRDefault="006448AC">
      <w:pPr>
        <w:pStyle w:val="Textodenotaderodap"/>
      </w:pPr>
    </w:p>
  </w:footnote>
  <w:footnote w:id="6">
    <w:p w14:paraId="3D321A7F" w14:textId="77777777" w:rsidR="00A260AF" w:rsidRPr="001F5C4C" w:rsidRDefault="00A260AF" w:rsidP="00A260AF">
      <w:pPr>
        <w:pStyle w:val="Corpodetexto3"/>
        <w:spacing w:after="0"/>
        <w:rPr>
          <w:rFonts w:ascii="Times New Roman" w:hAnsi="Times New Roman" w:cs="Times New Roman"/>
          <w:sz w:val="24"/>
          <w:szCs w:val="24"/>
        </w:rPr>
      </w:pPr>
      <w:r>
        <w:rPr>
          <w:rStyle w:val="Refdenotaderodap"/>
        </w:rPr>
        <w:footnoteRef/>
      </w:r>
      <w:r>
        <w:t xml:space="preserve"> </w:t>
      </w:r>
      <w:r w:rsidRPr="00A260AF">
        <w:rPr>
          <w:rFonts w:ascii="Times New Roman" w:hAnsi="Times New Roman" w:cs="Times New Roman"/>
          <w:sz w:val="20"/>
          <w:szCs w:val="20"/>
        </w:rPr>
        <w:t xml:space="preserve">VIAPIANA, </w:t>
      </w:r>
      <w:proofErr w:type="spellStart"/>
      <w:r w:rsidRPr="00A260AF">
        <w:rPr>
          <w:rFonts w:ascii="Times New Roman" w:hAnsi="Times New Roman" w:cs="Times New Roman"/>
          <w:sz w:val="20"/>
          <w:szCs w:val="20"/>
        </w:rPr>
        <w:t>Tábata</w:t>
      </w:r>
      <w:proofErr w:type="spellEnd"/>
      <w:r w:rsidRPr="00A260AF">
        <w:rPr>
          <w:rFonts w:ascii="Times New Roman" w:hAnsi="Times New Roman" w:cs="Times New Roman"/>
          <w:sz w:val="20"/>
          <w:szCs w:val="20"/>
        </w:rPr>
        <w:t>. Juiz manda banco parar com prática abusiva de empréstimos não autorizados. 22 de novembro de 2020. Disponível em: &lt;</w:t>
      </w:r>
      <w:hyperlink r:id="rId4" w:history="1">
        <w:r w:rsidRPr="00A260AF">
          <w:rPr>
            <w:rStyle w:val="Hyperlink"/>
            <w:rFonts w:ascii="Times New Roman" w:hAnsi="Times New Roman" w:cs="Times New Roman"/>
            <w:sz w:val="20"/>
            <w:szCs w:val="20"/>
          </w:rPr>
          <w:t>https://www.conjur.com.br/2020-nov-22/banco-parar-pratica-abusiva-emprestimos-nao-autorizados</w:t>
        </w:r>
      </w:hyperlink>
      <w:r w:rsidRPr="00A260AF">
        <w:rPr>
          <w:rFonts w:ascii="Times New Roman" w:hAnsi="Times New Roman" w:cs="Times New Roman"/>
          <w:sz w:val="20"/>
          <w:szCs w:val="20"/>
        </w:rPr>
        <w:t>&gt;. Acesso em: 5 junho 2021.</w:t>
      </w:r>
    </w:p>
    <w:p w14:paraId="462F5C38" w14:textId="77777777" w:rsidR="00A260AF" w:rsidRDefault="00A260AF">
      <w:pPr>
        <w:pStyle w:val="Textodenotaderodap"/>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550BE"/>
    <w:multiLevelType w:val="hybridMultilevel"/>
    <w:tmpl w:val="7646DF5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32834F5"/>
    <w:multiLevelType w:val="multilevel"/>
    <w:tmpl w:val="AAC28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D42E1F"/>
    <w:multiLevelType w:val="hybridMultilevel"/>
    <w:tmpl w:val="D86A112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478B6F87"/>
    <w:multiLevelType w:val="multilevel"/>
    <w:tmpl w:val="D092FB28"/>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50CE3412"/>
    <w:multiLevelType w:val="multilevel"/>
    <w:tmpl w:val="197ABA3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54231462"/>
    <w:multiLevelType w:val="hybridMultilevel"/>
    <w:tmpl w:val="5460388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610259BA"/>
    <w:multiLevelType w:val="hybridMultilevel"/>
    <w:tmpl w:val="BDDE7C0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7C6B5C06"/>
    <w:multiLevelType w:val="hybridMultilevel"/>
    <w:tmpl w:val="4226325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
  </w:num>
  <w:num w:numId="2">
    <w:abstractNumId w:val="3"/>
  </w:num>
  <w:num w:numId="3">
    <w:abstractNumId w:val="6"/>
  </w:num>
  <w:num w:numId="4">
    <w:abstractNumId w:val="7"/>
  </w:num>
  <w:num w:numId="5">
    <w:abstractNumId w:val="2"/>
  </w:num>
  <w:num w:numId="6">
    <w:abstractNumId w:val="5"/>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B48BF"/>
    <w:rsid w:val="000058AD"/>
    <w:rsid w:val="00041EB6"/>
    <w:rsid w:val="00072A57"/>
    <w:rsid w:val="0007682B"/>
    <w:rsid w:val="00080566"/>
    <w:rsid w:val="00094D2A"/>
    <w:rsid w:val="000A0EBE"/>
    <w:rsid w:val="000C74FD"/>
    <w:rsid w:val="000D4271"/>
    <w:rsid w:val="000E4740"/>
    <w:rsid w:val="00136D7D"/>
    <w:rsid w:val="00155E99"/>
    <w:rsid w:val="00161682"/>
    <w:rsid w:val="0019643C"/>
    <w:rsid w:val="001E1084"/>
    <w:rsid w:val="001E1667"/>
    <w:rsid w:val="001E2980"/>
    <w:rsid w:val="001F6084"/>
    <w:rsid w:val="0022709D"/>
    <w:rsid w:val="0024374F"/>
    <w:rsid w:val="002A3C46"/>
    <w:rsid w:val="002B0E3A"/>
    <w:rsid w:val="002B0FD6"/>
    <w:rsid w:val="002D0C62"/>
    <w:rsid w:val="00363900"/>
    <w:rsid w:val="0039562C"/>
    <w:rsid w:val="003C2F4F"/>
    <w:rsid w:val="003C7049"/>
    <w:rsid w:val="003E3B29"/>
    <w:rsid w:val="00444046"/>
    <w:rsid w:val="004440D3"/>
    <w:rsid w:val="0045079F"/>
    <w:rsid w:val="00452AE7"/>
    <w:rsid w:val="004539B2"/>
    <w:rsid w:val="00462924"/>
    <w:rsid w:val="00464B42"/>
    <w:rsid w:val="004C44A2"/>
    <w:rsid w:val="004D7FAE"/>
    <w:rsid w:val="004E6818"/>
    <w:rsid w:val="005407D0"/>
    <w:rsid w:val="00565327"/>
    <w:rsid w:val="005E7390"/>
    <w:rsid w:val="005F0A8A"/>
    <w:rsid w:val="00610FE0"/>
    <w:rsid w:val="006448AC"/>
    <w:rsid w:val="006D7961"/>
    <w:rsid w:val="00700B3C"/>
    <w:rsid w:val="00717557"/>
    <w:rsid w:val="00742D3C"/>
    <w:rsid w:val="007570D5"/>
    <w:rsid w:val="007A3E9E"/>
    <w:rsid w:val="007A6415"/>
    <w:rsid w:val="007C181D"/>
    <w:rsid w:val="007E447B"/>
    <w:rsid w:val="00826B34"/>
    <w:rsid w:val="008337E8"/>
    <w:rsid w:val="00857A08"/>
    <w:rsid w:val="00863427"/>
    <w:rsid w:val="00883957"/>
    <w:rsid w:val="008852A8"/>
    <w:rsid w:val="008C1585"/>
    <w:rsid w:val="009050EA"/>
    <w:rsid w:val="0091146A"/>
    <w:rsid w:val="00921D49"/>
    <w:rsid w:val="009321CB"/>
    <w:rsid w:val="009A2FBD"/>
    <w:rsid w:val="009E3FC1"/>
    <w:rsid w:val="00A0007F"/>
    <w:rsid w:val="00A250DD"/>
    <w:rsid w:val="00A260AF"/>
    <w:rsid w:val="00A41CFF"/>
    <w:rsid w:val="00A71B44"/>
    <w:rsid w:val="00A915D0"/>
    <w:rsid w:val="00AA3844"/>
    <w:rsid w:val="00AC1D83"/>
    <w:rsid w:val="00AD23B4"/>
    <w:rsid w:val="00AF6D62"/>
    <w:rsid w:val="00B158DD"/>
    <w:rsid w:val="00B417AF"/>
    <w:rsid w:val="00B4519E"/>
    <w:rsid w:val="00B51A96"/>
    <w:rsid w:val="00B63ED6"/>
    <w:rsid w:val="00B97A71"/>
    <w:rsid w:val="00BA54A3"/>
    <w:rsid w:val="00BA6ED9"/>
    <w:rsid w:val="00BB48BF"/>
    <w:rsid w:val="00BC14F9"/>
    <w:rsid w:val="00C320A0"/>
    <w:rsid w:val="00C33071"/>
    <w:rsid w:val="00CB29E9"/>
    <w:rsid w:val="00CE14CD"/>
    <w:rsid w:val="00CF0ECC"/>
    <w:rsid w:val="00D10023"/>
    <w:rsid w:val="00D10575"/>
    <w:rsid w:val="00D26DF4"/>
    <w:rsid w:val="00D569EC"/>
    <w:rsid w:val="00D614AD"/>
    <w:rsid w:val="00D86939"/>
    <w:rsid w:val="00DA4B95"/>
    <w:rsid w:val="00DC1539"/>
    <w:rsid w:val="00DE032D"/>
    <w:rsid w:val="00DF7E8C"/>
    <w:rsid w:val="00E065B1"/>
    <w:rsid w:val="00E34312"/>
    <w:rsid w:val="00E35758"/>
    <w:rsid w:val="00E6122C"/>
    <w:rsid w:val="00E934C4"/>
    <w:rsid w:val="00EA5519"/>
    <w:rsid w:val="00EB4942"/>
    <w:rsid w:val="00EF7AC9"/>
    <w:rsid w:val="00F060BD"/>
    <w:rsid w:val="00F068F3"/>
    <w:rsid w:val="00F40114"/>
    <w:rsid w:val="00F626F2"/>
    <w:rsid w:val="00F74077"/>
    <w:rsid w:val="00FF2FE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DA5CA"/>
  <w15:docId w15:val="{3CDBE799-FA7C-4552-A7AB-8485B4301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0C62"/>
    <w:pPr>
      <w:spacing w:after="0" w:line="240" w:lineRule="auto"/>
    </w:pPr>
    <w:rPr>
      <w:sz w:val="24"/>
    </w:rPr>
  </w:style>
  <w:style w:type="paragraph" w:styleId="Ttulo1">
    <w:name w:val="heading 1"/>
    <w:basedOn w:val="Normal"/>
    <w:link w:val="Ttulo1Char"/>
    <w:uiPriority w:val="9"/>
    <w:qFormat/>
    <w:rsid w:val="00CF0ECC"/>
    <w:pPr>
      <w:spacing w:before="100" w:beforeAutospacing="1" w:after="100" w:afterAutospacing="1"/>
      <w:outlineLvl w:val="0"/>
    </w:pPr>
    <w:rPr>
      <w:rFonts w:ascii="Times New Roman" w:eastAsia="Times New Roman" w:hAnsi="Times New Roman" w:cs="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BB48BF"/>
    <w:pPr>
      <w:ind w:left="720"/>
      <w:contextualSpacing/>
    </w:pPr>
  </w:style>
  <w:style w:type="character" w:customStyle="1" w:styleId="Ttulo1Char">
    <w:name w:val="Título 1 Char"/>
    <w:basedOn w:val="Fontepargpadro"/>
    <w:link w:val="Ttulo1"/>
    <w:uiPriority w:val="9"/>
    <w:rsid w:val="00CF0ECC"/>
    <w:rPr>
      <w:rFonts w:ascii="Times New Roman" w:eastAsia="Times New Roman" w:hAnsi="Times New Roman" w:cs="Times New Roman"/>
      <w:b/>
      <w:bCs/>
      <w:kern w:val="36"/>
      <w:sz w:val="48"/>
      <w:szCs w:val="48"/>
      <w:lang w:eastAsia="pt-BR"/>
    </w:rPr>
  </w:style>
  <w:style w:type="paragraph" w:styleId="NormalWeb">
    <w:name w:val="Normal (Web)"/>
    <w:basedOn w:val="Normal"/>
    <w:uiPriority w:val="99"/>
    <w:unhideWhenUsed/>
    <w:rsid w:val="0024374F"/>
    <w:pPr>
      <w:spacing w:before="100" w:beforeAutospacing="1" w:after="100" w:afterAutospacing="1"/>
    </w:pPr>
    <w:rPr>
      <w:rFonts w:ascii="Times New Roman" w:eastAsia="Times New Roman" w:hAnsi="Times New Roman" w:cs="Times New Roman"/>
      <w:szCs w:val="24"/>
      <w:lang w:eastAsia="pt-BR"/>
    </w:rPr>
  </w:style>
  <w:style w:type="character" w:styleId="Hyperlink">
    <w:name w:val="Hyperlink"/>
    <w:basedOn w:val="Fontepargpadro"/>
    <w:unhideWhenUsed/>
    <w:rsid w:val="0024374F"/>
    <w:rPr>
      <w:color w:val="0000FF"/>
      <w:u w:val="single"/>
    </w:rPr>
  </w:style>
  <w:style w:type="paragraph" w:customStyle="1" w:styleId="artigo">
    <w:name w:val="artigo"/>
    <w:basedOn w:val="Normal"/>
    <w:rsid w:val="008C1585"/>
    <w:pPr>
      <w:spacing w:before="100" w:beforeAutospacing="1" w:after="100" w:afterAutospacing="1"/>
    </w:pPr>
    <w:rPr>
      <w:rFonts w:ascii="Times New Roman" w:eastAsia="Times New Roman" w:hAnsi="Times New Roman" w:cs="Times New Roman"/>
      <w:szCs w:val="24"/>
      <w:lang w:eastAsia="pt-BR"/>
    </w:rPr>
  </w:style>
  <w:style w:type="paragraph" w:styleId="Textodenotaderodap">
    <w:name w:val="footnote text"/>
    <w:basedOn w:val="Normal"/>
    <w:link w:val="TextodenotaderodapChar"/>
    <w:uiPriority w:val="99"/>
    <w:semiHidden/>
    <w:unhideWhenUsed/>
    <w:rsid w:val="00AC1D83"/>
    <w:rPr>
      <w:sz w:val="20"/>
      <w:szCs w:val="20"/>
    </w:rPr>
  </w:style>
  <w:style w:type="character" w:customStyle="1" w:styleId="TextodenotaderodapChar">
    <w:name w:val="Texto de nota de rodapé Char"/>
    <w:basedOn w:val="Fontepargpadro"/>
    <w:link w:val="Textodenotaderodap"/>
    <w:uiPriority w:val="99"/>
    <w:semiHidden/>
    <w:rsid w:val="00AC1D83"/>
    <w:rPr>
      <w:sz w:val="20"/>
      <w:szCs w:val="20"/>
    </w:rPr>
  </w:style>
  <w:style w:type="character" w:styleId="Refdenotaderodap">
    <w:name w:val="footnote reference"/>
    <w:basedOn w:val="Fontepargpadro"/>
    <w:uiPriority w:val="99"/>
    <w:semiHidden/>
    <w:unhideWhenUsed/>
    <w:rsid w:val="00AC1D83"/>
    <w:rPr>
      <w:vertAlign w:val="superscript"/>
    </w:rPr>
  </w:style>
  <w:style w:type="character" w:customStyle="1" w:styleId="MenoPendente1">
    <w:name w:val="Menção Pendente1"/>
    <w:basedOn w:val="Fontepargpadro"/>
    <w:uiPriority w:val="99"/>
    <w:semiHidden/>
    <w:unhideWhenUsed/>
    <w:rsid w:val="00AC1D83"/>
    <w:rPr>
      <w:color w:val="605E5C"/>
      <w:shd w:val="clear" w:color="auto" w:fill="E1DFDD"/>
    </w:rPr>
  </w:style>
  <w:style w:type="paragraph" w:styleId="Textodenotadefim">
    <w:name w:val="endnote text"/>
    <w:basedOn w:val="Normal"/>
    <w:link w:val="TextodenotadefimChar"/>
    <w:uiPriority w:val="99"/>
    <w:semiHidden/>
    <w:unhideWhenUsed/>
    <w:rsid w:val="00462924"/>
    <w:rPr>
      <w:sz w:val="20"/>
      <w:szCs w:val="20"/>
    </w:rPr>
  </w:style>
  <w:style w:type="character" w:customStyle="1" w:styleId="TextodenotadefimChar">
    <w:name w:val="Texto de nota de fim Char"/>
    <w:basedOn w:val="Fontepargpadro"/>
    <w:link w:val="Textodenotadefim"/>
    <w:uiPriority w:val="99"/>
    <w:semiHidden/>
    <w:rsid w:val="00462924"/>
    <w:rPr>
      <w:sz w:val="20"/>
      <w:szCs w:val="20"/>
    </w:rPr>
  </w:style>
  <w:style w:type="character" w:styleId="Refdenotadefim">
    <w:name w:val="endnote reference"/>
    <w:basedOn w:val="Fontepargpadro"/>
    <w:uiPriority w:val="99"/>
    <w:semiHidden/>
    <w:unhideWhenUsed/>
    <w:rsid w:val="00462924"/>
    <w:rPr>
      <w:vertAlign w:val="superscript"/>
    </w:rPr>
  </w:style>
  <w:style w:type="paragraph" w:styleId="Textodebalo">
    <w:name w:val="Balloon Text"/>
    <w:basedOn w:val="Normal"/>
    <w:link w:val="TextodebaloChar"/>
    <w:uiPriority w:val="99"/>
    <w:semiHidden/>
    <w:unhideWhenUsed/>
    <w:rsid w:val="00EA5519"/>
    <w:rPr>
      <w:rFonts w:ascii="Tahoma" w:hAnsi="Tahoma" w:cs="Tahoma"/>
      <w:sz w:val="16"/>
      <w:szCs w:val="16"/>
    </w:rPr>
  </w:style>
  <w:style w:type="character" w:customStyle="1" w:styleId="TextodebaloChar">
    <w:name w:val="Texto de balão Char"/>
    <w:basedOn w:val="Fontepargpadro"/>
    <w:link w:val="Textodebalo"/>
    <w:uiPriority w:val="99"/>
    <w:semiHidden/>
    <w:rsid w:val="00EA5519"/>
    <w:rPr>
      <w:rFonts w:ascii="Tahoma" w:hAnsi="Tahoma" w:cs="Tahoma"/>
      <w:sz w:val="16"/>
      <w:szCs w:val="16"/>
    </w:rPr>
  </w:style>
  <w:style w:type="paragraph" w:styleId="SemEspaamento">
    <w:name w:val="No Spacing"/>
    <w:uiPriority w:val="1"/>
    <w:qFormat/>
    <w:rsid w:val="001E1084"/>
    <w:pPr>
      <w:spacing w:after="0" w:line="240" w:lineRule="auto"/>
    </w:pPr>
    <w:rPr>
      <w:sz w:val="24"/>
    </w:rPr>
  </w:style>
  <w:style w:type="character" w:styleId="Forte">
    <w:name w:val="Strong"/>
    <w:basedOn w:val="Fontepargpadro"/>
    <w:uiPriority w:val="22"/>
    <w:qFormat/>
    <w:rsid w:val="00E6122C"/>
    <w:rPr>
      <w:b/>
      <w:bCs/>
    </w:rPr>
  </w:style>
  <w:style w:type="paragraph" w:customStyle="1" w:styleId="texto2">
    <w:name w:val="texto2"/>
    <w:basedOn w:val="Normal"/>
    <w:rsid w:val="0022709D"/>
    <w:pPr>
      <w:spacing w:before="100" w:beforeAutospacing="1" w:after="100" w:afterAutospacing="1"/>
    </w:pPr>
    <w:rPr>
      <w:rFonts w:ascii="Times New Roman" w:eastAsia="Times New Roman" w:hAnsi="Times New Roman" w:cs="Times New Roman"/>
      <w:szCs w:val="24"/>
      <w:lang w:eastAsia="pt-BR"/>
    </w:rPr>
  </w:style>
  <w:style w:type="paragraph" w:styleId="Corpodetexto3">
    <w:name w:val="Body Text 3"/>
    <w:basedOn w:val="Normal"/>
    <w:link w:val="Corpodetexto3Char"/>
    <w:uiPriority w:val="99"/>
    <w:unhideWhenUsed/>
    <w:rsid w:val="00A71B44"/>
    <w:pPr>
      <w:spacing w:after="120"/>
    </w:pPr>
    <w:rPr>
      <w:sz w:val="16"/>
      <w:szCs w:val="16"/>
    </w:rPr>
  </w:style>
  <w:style w:type="character" w:customStyle="1" w:styleId="Corpodetexto3Char">
    <w:name w:val="Corpo de texto 3 Char"/>
    <w:basedOn w:val="Fontepargpadro"/>
    <w:link w:val="Corpodetexto3"/>
    <w:uiPriority w:val="99"/>
    <w:rsid w:val="00A71B44"/>
    <w:rPr>
      <w:sz w:val="16"/>
      <w:szCs w:val="16"/>
    </w:rPr>
  </w:style>
  <w:style w:type="character" w:customStyle="1" w:styleId="il">
    <w:name w:val="il"/>
    <w:basedOn w:val="Fontepargpadro"/>
    <w:rsid w:val="008634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581045">
      <w:bodyDiv w:val="1"/>
      <w:marLeft w:val="0"/>
      <w:marRight w:val="0"/>
      <w:marTop w:val="0"/>
      <w:marBottom w:val="0"/>
      <w:divBdr>
        <w:top w:val="none" w:sz="0" w:space="0" w:color="auto"/>
        <w:left w:val="none" w:sz="0" w:space="0" w:color="auto"/>
        <w:bottom w:val="none" w:sz="0" w:space="0" w:color="auto"/>
        <w:right w:val="none" w:sz="0" w:space="0" w:color="auto"/>
      </w:divBdr>
    </w:div>
    <w:div w:id="263928903">
      <w:bodyDiv w:val="1"/>
      <w:marLeft w:val="0"/>
      <w:marRight w:val="0"/>
      <w:marTop w:val="0"/>
      <w:marBottom w:val="0"/>
      <w:divBdr>
        <w:top w:val="none" w:sz="0" w:space="0" w:color="auto"/>
        <w:left w:val="none" w:sz="0" w:space="0" w:color="auto"/>
        <w:bottom w:val="none" w:sz="0" w:space="0" w:color="auto"/>
        <w:right w:val="none" w:sz="0" w:space="0" w:color="auto"/>
      </w:divBdr>
      <w:divsChild>
        <w:div w:id="684212983">
          <w:marLeft w:val="0"/>
          <w:marRight w:val="0"/>
          <w:marTop w:val="0"/>
          <w:marBottom w:val="0"/>
          <w:divBdr>
            <w:top w:val="none" w:sz="0" w:space="0" w:color="auto"/>
            <w:left w:val="none" w:sz="0" w:space="0" w:color="auto"/>
            <w:bottom w:val="none" w:sz="0" w:space="0" w:color="auto"/>
            <w:right w:val="none" w:sz="0" w:space="0" w:color="auto"/>
          </w:divBdr>
        </w:div>
        <w:div w:id="431047319">
          <w:marLeft w:val="0"/>
          <w:marRight w:val="0"/>
          <w:marTop w:val="0"/>
          <w:marBottom w:val="0"/>
          <w:divBdr>
            <w:top w:val="none" w:sz="0" w:space="0" w:color="auto"/>
            <w:left w:val="none" w:sz="0" w:space="0" w:color="auto"/>
            <w:bottom w:val="none" w:sz="0" w:space="0" w:color="auto"/>
            <w:right w:val="none" w:sz="0" w:space="0" w:color="auto"/>
          </w:divBdr>
        </w:div>
        <w:div w:id="602150157">
          <w:marLeft w:val="0"/>
          <w:marRight w:val="0"/>
          <w:marTop w:val="0"/>
          <w:marBottom w:val="0"/>
          <w:divBdr>
            <w:top w:val="none" w:sz="0" w:space="0" w:color="auto"/>
            <w:left w:val="none" w:sz="0" w:space="0" w:color="auto"/>
            <w:bottom w:val="none" w:sz="0" w:space="0" w:color="auto"/>
            <w:right w:val="none" w:sz="0" w:space="0" w:color="auto"/>
          </w:divBdr>
        </w:div>
      </w:divsChild>
    </w:div>
    <w:div w:id="920680049">
      <w:bodyDiv w:val="1"/>
      <w:marLeft w:val="0"/>
      <w:marRight w:val="0"/>
      <w:marTop w:val="0"/>
      <w:marBottom w:val="0"/>
      <w:divBdr>
        <w:top w:val="none" w:sz="0" w:space="0" w:color="auto"/>
        <w:left w:val="none" w:sz="0" w:space="0" w:color="auto"/>
        <w:bottom w:val="none" w:sz="0" w:space="0" w:color="auto"/>
        <w:right w:val="none" w:sz="0" w:space="0" w:color="auto"/>
      </w:divBdr>
    </w:div>
    <w:div w:id="976644940">
      <w:bodyDiv w:val="1"/>
      <w:marLeft w:val="0"/>
      <w:marRight w:val="0"/>
      <w:marTop w:val="0"/>
      <w:marBottom w:val="0"/>
      <w:divBdr>
        <w:top w:val="none" w:sz="0" w:space="0" w:color="auto"/>
        <w:left w:val="none" w:sz="0" w:space="0" w:color="auto"/>
        <w:bottom w:val="none" w:sz="0" w:space="0" w:color="auto"/>
        <w:right w:val="none" w:sz="0" w:space="0" w:color="auto"/>
      </w:divBdr>
    </w:div>
    <w:div w:id="1312566271">
      <w:bodyDiv w:val="1"/>
      <w:marLeft w:val="0"/>
      <w:marRight w:val="0"/>
      <w:marTop w:val="0"/>
      <w:marBottom w:val="0"/>
      <w:divBdr>
        <w:top w:val="none" w:sz="0" w:space="0" w:color="auto"/>
        <w:left w:val="none" w:sz="0" w:space="0" w:color="auto"/>
        <w:bottom w:val="none" w:sz="0" w:space="0" w:color="auto"/>
        <w:right w:val="none" w:sz="0" w:space="0" w:color="auto"/>
      </w:divBdr>
    </w:div>
    <w:div w:id="1613441956">
      <w:bodyDiv w:val="1"/>
      <w:marLeft w:val="0"/>
      <w:marRight w:val="0"/>
      <w:marTop w:val="0"/>
      <w:marBottom w:val="0"/>
      <w:divBdr>
        <w:top w:val="none" w:sz="0" w:space="0" w:color="auto"/>
        <w:left w:val="none" w:sz="0" w:space="0" w:color="auto"/>
        <w:bottom w:val="none" w:sz="0" w:space="0" w:color="auto"/>
        <w:right w:val="none" w:sz="0" w:space="0" w:color="auto"/>
      </w:divBdr>
    </w:div>
    <w:div w:id="1987977732">
      <w:bodyDiv w:val="1"/>
      <w:marLeft w:val="0"/>
      <w:marRight w:val="0"/>
      <w:marTop w:val="0"/>
      <w:marBottom w:val="0"/>
      <w:divBdr>
        <w:top w:val="none" w:sz="0" w:space="0" w:color="auto"/>
        <w:left w:val="none" w:sz="0" w:space="0" w:color="auto"/>
        <w:bottom w:val="none" w:sz="0" w:space="0" w:color="auto"/>
        <w:right w:val="none" w:sz="0" w:space="0" w:color="auto"/>
      </w:divBdr>
    </w:div>
    <w:div w:id="2032029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galhas.com.br/quentes/270855/consumidor-idoso-e-hipervulneravel-e-deve-ser-protegido-pelo-cdc--aponta-especialista" TargetMode="External"/><Relationship Id="rId13" Type="http://schemas.openxmlformats.org/officeDocument/2006/relationships/hyperlink" Target="https://pje.tjmg.jus.br/pje/ConsultaPublica/DetalheProcessoConsultaPublica/documentoSemLoginHTML.seam?ca=981cf9be766f376e5e11a492c2cd0622e354b0bca6bf6380a29c7c5a5533cc59224b1b5d703ee121f4b4824b6d65dc7a3a1c0d06da0e4963&amp;idProcessoDoc=142533490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ibliodigital.unijui.edu.br:8443/xmlui/bitstream/handle/123456789/6838/MARTINA%20BESCHORNER%20BASSO.pdf?sequence=1&amp;isAllowed=y"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nalto.gov.br/ccivil_03/_Ato2019-2022/2021/Lei/L14131.ht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planalto.gov.br/ccivil_03/_Ato2019-2022/2020/Mpv/mpv1006.htm" TargetMode="External"/><Relationship Id="rId4" Type="http://schemas.openxmlformats.org/officeDocument/2006/relationships/settings" Target="settings.xml"/><Relationship Id="rId9" Type="http://schemas.openxmlformats.org/officeDocument/2006/relationships/hyperlink" Target="http://www.planalto.gov.br/ccivil_03/_Ato2015-2018/2015/Lei/L13183.htm" TargetMode="External"/><Relationship Id="rId14" Type="http://schemas.openxmlformats.org/officeDocument/2006/relationships/hyperlink" Target="https://www.procon.sp.gov.br/procon-sp-envia-oficio-ao-inss/"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procon.sp.gov.br/procon-sp-envia-oficio-ao-inss/" TargetMode="External"/><Relationship Id="rId2" Type="http://schemas.openxmlformats.org/officeDocument/2006/relationships/hyperlink" Target="mailto:andrea.fabri@uniube.br" TargetMode="External"/><Relationship Id="rId1" Type="http://schemas.openxmlformats.org/officeDocument/2006/relationships/hyperlink" Target="mailto:gabriellasucupira@gmail.com" TargetMode="External"/><Relationship Id="rId4" Type="http://schemas.openxmlformats.org/officeDocument/2006/relationships/hyperlink" Target="https://www.conjur.com.br/2020-nov-22/banco-parar-pratica-abusiva-emprestimos-nao-autorizados"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Joã93</b:Tag>
    <b:SourceType>Book</b:SourceType>
    <b:Guid>{25C9E602-8F9A-459D-B844-A7CF7DFC77F4}</b:Guid>
    <b:Author>
      <b:Author>
        <b:NameList>
          <b:Person>
            <b:Last>Almeida</b:Last>
            <b:First>João</b:First>
            <b:Middle>Batista</b:Middle>
          </b:Person>
        </b:NameList>
      </b:Author>
    </b:Author>
    <b:Title> A Proteção Jurídica ao Consumidor</b:Title>
    <b:Year>1993</b:Year>
    <b:City>São Paulo</b:City>
    <b:Publisher>Saraiva</b:Publisher>
    <b:RefOrder>1</b:RefOrder>
  </b:Source>
</b:Sources>
</file>

<file path=customXml/itemProps1.xml><?xml version="1.0" encoding="utf-8"?>
<ds:datastoreItem xmlns:ds="http://schemas.openxmlformats.org/officeDocument/2006/customXml" ds:itemID="{699BF14E-29EE-42BB-BE8D-231E2D0C5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3575</Words>
  <Characters>19311</Characters>
  <Application>Microsoft Office Word</Application>
  <DocSecurity>0</DocSecurity>
  <Lines>160</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cp:lastModifiedBy>andreaq@office.edu.uniube.br</cp:lastModifiedBy>
  <cp:revision>2</cp:revision>
  <dcterms:created xsi:type="dcterms:W3CDTF">2021-11-10T20:27:00Z</dcterms:created>
  <dcterms:modified xsi:type="dcterms:W3CDTF">2021-11-10T20:27:00Z</dcterms:modified>
</cp:coreProperties>
</file>